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2" w:firstLineChars="200"/>
        <w:rPr>
          <w:b/>
          <w:szCs w:val="21"/>
        </w:rPr>
      </w:pPr>
      <w:r>
        <w:rPr>
          <w:rFonts w:hint="eastAsia"/>
          <w:b/>
          <w:szCs w:val="21"/>
        </w:rPr>
        <w:t>3.1.</w:t>
      </w:r>
      <w:r>
        <w:rPr>
          <w:b/>
          <w:szCs w:val="21"/>
        </w:rPr>
        <w:t>3</w:t>
      </w:r>
      <w:r>
        <w:rPr>
          <w:rFonts w:hint="eastAsia"/>
          <w:b/>
          <w:szCs w:val="21"/>
        </w:rPr>
        <w:t>主要参数及验收指标</w:t>
      </w:r>
    </w:p>
    <w:p>
      <w:pPr>
        <w:tabs>
          <w:tab w:val="left" w:pos="0"/>
        </w:tabs>
        <w:ind w:firstLine="420"/>
        <w:rPr>
          <w:rFonts w:ascii="宋体" w:hAnsi="宋体"/>
          <w:szCs w:val="21"/>
        </w:rPr>
      </w:pPr>
      <w:r>
        <w:rPr>
          <w:rFonts w:hint="eastAsia" w:ascii="宋体" w:hAnsi="宋体"/>
          <w:szCs w:val="21"/>
        </w:rPr>
        <w:t>数据采集与控制子系统主要参数及验收指标下表5所示。</w:t>
      </w:r>
    </w:p>
    <w:p>
      <w:pPr>
        <w:tabs>
          <w:tab w:val="left" w:pos="0"/>
        </w:tabs>
        <w:ind w:firstLine="420"/>
        <w:rPr>
          <w:rFonts w:ascii="宋体" w:hAnsi="宋体"/>
          <w:szCs w:val="21"/>
        </w:rPr>
      </w:pPr>
      <w:r>
        <w:rPr>
          <w:rFonts w:hint="eastAsia" w:ascii="宋体" w:hAnsi="宋体"/>
          <w:szCs w:val="21"/>
        </w:rPr>
        <w:t>表5 数据采集与控制子系统主要参数及验收指标</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2768"/>
        <w:gridCol w:w="3503"/>
        <w:gridCol w:w="23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tcBorders>
              <w:top w:val="single" w:color="auto" w:sz="12" w:space="0"/>
              <w:bottom w:val="single" w:color="auto" w:sz="12" w:space="0"/>
            </w:tcBorders>
            <w:vAlign w:val="center"/>
          </w:tcPr>
          <w:p>
            <w:pPr>
              <w:widowControl/>
              <w:adjustRightInd w:val="0"/>
              <w:snapToGrid w:val="0"/>
              <w:jc w:val="center"/>
              <w:rPr>
                <w:kern w:val="0"/>
                <w:szCs w:val="21"/>
                <w:lang w:val="zh-CN"/>
              </w:rPr>
            </w:pPr>
            <w:r>
              <w:rPr>
                <w:kern w:val="0"/>
                <w:szCs w:val="21"/>
                <w:lang w:val="zh-CN"/>
              </w:rPr>
              <w:t>序号</w:t>
            </w:r>
          </w:p>
        </w:tc>
        <w:tc>
          <w:tcPr>
            <w:tcW w:w="1446" w:type="pct"/>
            <w:tcBorders>
              <w:top w:val="single" w:color="auto" w:sz="12" w:space="0"/>
              <w:bottom w:val="single" w:color="auto" w:sz="12" w:space="0"/>
            </w:tcBorders>
            <w:vAlign w:val="center"/>
          </w:tcPr>
          <w:p>
            <w:pPr>
              <w:widowControl/>
              <w:adjustRightInd w:val="0"/>
              <w:snapToGrid w:val="0"/>
              <w:jc w:val="center"/>
              <w:rPr>
                <w:kern w:val="0"/>
                <w:szCs w:val="21"/>
                <w:lang w:val="zh-CN"/>
              </w:rPr>
            </w:pPr>
            <w:r>
              <w:rPr>
                <w:kern w:val="0"/>
                <w:szCs w:val="21"/>
                <w:lang w:val="zh-CN"/>
              </w:rPr>
              <w:t>参数名称</w:t>
            </w:r>
          </w:p>
        </w:tc>
        <w:tc>
          <w:tcPr>
            <w:tcW w:w="1830" w:type="pct"/>
            <w:tcBorders>
              <w:top w:val="single" w:color="auto" w:sz="12" w:space="0"/>
              <w:bottom w:val="single" w:color="auto" w:sz="12" w:space="0"/>
            </w:tcBorders>
            <w:vAlign w:val="center"/>
          </w:tcPr>
          <w:p>
            <w:pPr>
              <w:widowControl/>
              <w:adjustRightInd w:val="0"/>
              <w:snapToGrid w:val="0"/>
              <w:jc w:val="center"/>
              <w:rPr>
                <w:kern w:val="0"/>
                <w:szCs w:val="21"/>
                <w:lang w:val="zh-CN"/>
              </w:rPr>
            </w:pPr>
            <w:r>
              <w:rPr>
                <w:kern w:val="0"/>
                <w:szCs w:val="21"/>
                <w:lang w:val="zh-CN"/>
              </w:rPr>
              <w:t>主要性能指标</w:t>
            </w:r>
          </w:p>
        </w:tc>
        <w:tc>
          <w:tcPr>
            <w:tcW w:w="1245" w:type="pct"/>
            <w:tcBorders>
              <w:top w:val="single" w:color="auto" w:sz="12" w:space="0"/>
              <w:bottom w:val="single" w:color="auto" w:sz="12" w:space="0"/>
            </w:tcBorders>
            <w:vAlign w:val="center"/>
          </w:tcPr>
          <w:p>
            <w:pPr>
              <w:widowControl/>
              <w:adjustRightInd w:val="0"/>
              <w:snapToGrid w:val="0"/>
              <w:jc w:val="center"/>
              <w:rPr>
                <w:kern w:val="0"/>
                <w:szCs w:val="21"/>
                <w:lang w:val="zh-CN"/>
              </w:rPr>
            </w:pPr>
            <w:r>
              <w:rPr>
                <w:kern w:val="0"/>
                <w:szCs w:val="21"/>
                <w:lang w:val="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Align w:val="center"/>
          </w:tcPr>
          <w:p>
            <w:pPr>
              <w:widowControl/>
              <w:numPr>
                <w:ilvl w:val="0"/>
                <w:numId w:val="1"/>
              </w:numPr>
              <w:adjustRightInd w:val="0"/>
              <w:snapToGrid w:val="0"/>
              <w:jc w:val="center"/>
              <w:rPr>
                <w:kern w:val="0"/>
                <w:szCs w:val="21"/>
                <w:lang w:val="zh-CN"/>
              </w:rPr>
            </w:pPr>
          </w:p>
        </w:tc>
        <w:tc>
          <w:tcPr>
            <w:tcW w:w="1446" w:type="pct"/>
            <w:vAlign w:val="center"/>
          </w:tcPr>
          <w:p>
            <w:pPr>
              <w:widowControl/>
              <w:adjustRightInd w:val="0"/>
              <w:snapToGrid w:val="0"/>
              <w:jc w:val="center"/>
              <w:rPr>
                <w:kern w:val="0"/>
                <w:szCs w:val="21"/>
                <w:lang w:val="zh-CN"/>
              </w:rPr>
            </w:pPr>
            <w:r>
              <w:rPr>
                <w:rFonts w:hint="eastAsia"/>
                <w:kern w:val="0"/>
                <w:szCs w:val="21"/>
                <w:lang w:val="zh-CN"/>
              </w:rPr>
              <w:t>近地</w:t>
            </w:r>
            <w:r>
              <w:rPr>
                <w:kern w:val="0"/>
                <w:szCs w:val="21"/>
                <w:lang w:val="zh-CN"/>
              </w:rPr>
              <w:t>模拟量数据采集</w:t>
            </w:r>
          </w:p>
        </w:tc>
        <w:tc>
          <w:tcPr>
            <w:tcW w:w="1830" w:type="pct"/>
            <w:vAlign w:val="center"/>
          </w:tcPr>
          <w:p>
            <w:pPr>
              <w:widowControl/>
              <w:adjustRightInd w:val="0"/>
              <w:snapToGrid w:val="0"/>
              <w:jc w:val="center"/>
              <w:rPr>
                <w:kern w:val="0"/>
                <w:szCs w:val="21"/>
                <w:lang w:val="zh-CN"/>
              </w:rPr>
            </w:pPr>
            <w:r>
              <w:rPr>
                <w:rFonts w:hint="eastAsia"/>
                <w:kern w:val="0"/>
                <w:szCs w:val="21"/>
                <w:lang w:val="zh-CN"/>
              </w:rPr>
              <w:t>不少于320路</w:t>
            </w:r>
            <w:r>
              <w:rPr>
                <w:kern w:val="0"/>
                <w:szCs w:val="21"/>
                <w:lang w:val="zh-CN"/>
              </w:rPr>
              <w:t>，</w:t>
            </w:r>
            <w:r>
              <w:rPr>
                <w:rFonts w:hint="eastAsia"/>
                <w:kern w:val="0"/>
                <w:szCs w:val="21"/>
                <w:lang w:val="zh-CN"/>
              </w:rPr>
              <w:t>不低于50MSPS</w:t>
            </w:r>
          </w:p>
        </w:tc>
        <w:tc>
          <w:tcPr>
            <w:tcW w:w="1245" w:type="pct"/>
            <w:vAlign w:val="center"/>
          </w:tcPr>
          <w:p>
            <w:pPr>
              <w:widowControl/>
              <w:adjustRightInd w:val="0"/>
              <w:snapToGrid w:val="0"/>
              <w:jc w:val="center"/>
              <w:rPr>
                <w:kern w:val="0"/>
                <w:szCs w:val="21"/>
                <w:lang w:val="zh-CN"/>
              </w:rPr>
            </w:pPr>
            <w:r>
              <w:rPr>
                <w:kern w:val="0"/>
                <w:szCs w:val="21"/>
                <w:lang w:val="zh-CN"/>
              </w:rPr>
              <w:t>信号线缆9</w:t>
            </w:r>
            <w:r>
              <w:rPr>
                <w:rFonts w:hint="eastAsia"/>
                <w:kern w:val="0"/>
                <w:szCs w:val="21"/>
                <w:lang w:val="zh-CN"/>
              </w:rPr>
              <w:t>00根</w:t>
            </w:r>
          </w:p>
          <w:p>
            <w:pPr>
              <w:widowControl/>
              <w:adjustRightInd w:val="0"/>
              <w:snapToGrid w:val="0"/>
              <w:jc w:val="center"/>
              <w:rPr>
                <w:kern w:val="0"/>
                <w:szCs w:val="21"/>
                <w:lang w:val="zh-CN"/>
              </w:rPr>
            </w:pPr>
            <w:r>
              <w:rPr>
                <w:kern w:val="0"/>
                <w:szCs w:val="21"/>
                <w:lang w:val="zh-CN"/>
              </w:rPr>
              <w:t>采集通道可扩充至</w:t>
            </w:r>
            <w:r>
              <w:rPr>
                <w:rFonts w:hint="eastAsia"/>
                <w:kern w:val="0"/>
                <w:szCs w:val="21"/>
                <w:lang w:val="zh-CN"/>
              </w:rPr>
              <w:t>800路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Align w:val="center"/>
          </w:tcPr>
          <w:p>
            <w:pPr>
              <w:widowControl/>
              <w:numPr>
                <w:ilvl w:val="0"/>
                <w:numId w:val="1"/>
              </w:numPr>
              <w:adjustRightInd w:val="0"/>
              <w:snapToGrid w:val="0"/>
              <w:jc w:val="center"/>
              <w:rPr>
                <w:kern w:val="0"/>
                <w:szCs w:val="21"/>
                <w:lang w:val="zh-CN"/>
              </w:rPr>
            </w:pPr>
          </w:p>
        </w:tc>
        <w:tc>
          <w:tcPr>
            <w:tcW w:w="1446" w:type="pct"/>
            <w:vAlign w:val="center"/>
          </w:tcPr>
          <w:p>
            <w:pPr>
              <w:widowControl/>
              <w:adjustRightInd w:val="0"/>
              <w:snapToGrid w:val="0"/>
              <w:jc w:val="center"/>
              <w:rPr>
                <w:kern w:val="0"/>
                <w:szCs w:val="21"/>
                <w:lang w:val="zh-CN"/>
              </w:rPr>
            </w:pPr>
            <w:r>
              <w:rPr>
                <w:rFonts w:hint="eastAsia"/>
                <w:kern w:val="0"/>
                <w:szCs w:val="21"/>
                <w:lang w:val="zh-CN"/>
              </w:rPr>
              <w:t>临近</w:t>
            </w:r>
            <w:r>
              <w:rPr>
                <w:kern w:val="0"/>
                <w:szCs w:val="21"/>
                <w:lang w:val="zh-CN"/>
              </w:rPr>
              <w:t>模拟量数据采集</w:t>
            </w:r>
          </w:p>
        </w:tc>
        <w:tc>
          <w:tcPr>
            <w:tcW w:w="1830" w:type="pct"/>
            <w:vAlign w:val="center"/>
          </w:tcPr>
          <w:p>
            <w:pPr>
              <w:widowControl/>
              <w:adjustRightInd w:val="0"/>
              <w:snapToGrid w:val="0"/>
              <w:jc w:val="center"/>
              <w:rPr>
                <w:kern w:val="0"/>
                <w:szCs w:val="21"/>
                <w:lang w:val="zh-CN"/>
              </w:rPr>
            </w:pPr>
            <w:r>
              <w:rPr>
                <w:rFonts w:hint="eastAsia"/>
                <w:kern w:val="0"/>
                <w:szCs w:val="21"/>
                <w:lang w:val="zh-CN"/>
              </w:rPr>
              <w:t>不少于</w:t>
            </w:r>
            <w:r>
              <w:rPr>
                <w:kern w:val="0"/>
                <w:szCs w:val="21"/>
                <w:lang w:val="zh-CN"/>
              </w:rPr>
              <w:t>64路，</w:t>
            </w:r>
            <w:r>
              <w:rPr>
                <w:rFonts w:hint="eastAsia"/>
                <w:kern w:val="0"/>
                <w:szCs w:val="21"/>
                <w:lang w:val="zh-CN"/>
              </w:rPr>
              <w:t>不低于</w:t>
            </w:r>
            <w:r>
              <w:rPr>
                <w:kern w:val="0"/>
                <w:szCs w:val="21"/>
                <w:lang w:val="zh-CN"/>
              </w:rPr>
              <w:t>2MSPS</w:t>
            </w:r>
          </w:p>
        </w:tc>
        <w:tc>
          <w:tcPr>
            <w:tcW w:w="1245" w:type="pct"/>
            <w:vAlign w:val="center"/>
          </w:tcPr>
          <w:p>
            <w:pPr>
              <w:widowControl/>
              <w:adjustRightInd w:val="0"/>
              <w:snapToGrid w:val="0"/>
              <w:jc w:val="center"/>
              <w:rPr>
                <w:kern w:val="0"/>
                <w:szCs w:val="21"/>
                <w:lang w:val="zh-CN"/>
              </w:rPr>
            </w:pPr>
            <w:r>
              <w:rPr>
                <w:kern w:val="0"/>
                <w:szCs w:val="21"/>
                <w:lang w:val="zh-CN"/>
              </w:rPr>
              <w:t>可扩充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Align w:val="center"/>
          </w:tcPr>
          <w:p>
            <w:pPr>
              <w:widowControl/>
              <w:numPr>
                <w:ilvl w:val="0"/>
                <w:numId w:val="1"/>
              </w:numPr>
              <w:adjustRightInd w:val="0"/>
              <w:snapToGrid w:val="0"/>
              <w:jc w:val="center"/>
              <w:rPr>
                <w:kern w:val="0"/>
                <w:szCs w:val="21"/>
                <w:lang w:val="zh-CN"/>
              </w:rPr>
            </w:pPr>
          </w:p>
        </w:tc>
        <w:tc>
          <w:tcPr>
            <w:tcW w:w="1446" w:type="pct"/>
            <w:vAlign w:val="center"/>
          </w:tcPr>
          <w:p>
            <w:pPr>
              <w:widowControl/>
              <w:adjustRightInd w:val="0"/>
              <w:snapToGrid w:val="0"/>
              <w:jc w:val="center"/>
              <w:rPr>
                <w:kern w:val="0"/>
                <w:szCs w:val="21"/>
                <w:lang w:val="zh-CN"/>
              </w:rPr>
            </w:pPr>
            <w:r>
              <w:rPr>
                <w:rFonts w:hint="eastAsia"/>
                <w:kern w:val="0"/>
                <w:szCs w:val="21"/>
                <w:lang w:val="zh-CN"/>
              </w:rPr>
              <w:t>软X射线</w:t>
            </w:r>
          </w:p>
        </w:tc>
        <w:tc>
          <w:tcPr>
            <w:tcW w:w="1830" w:type="pct"/>
            <w:vAlign w:val="center"/>
          </w:tcPr>
          <w:p>
            <w:pPr>
              <w:widowControl/>
              <w:adjustRightInd w:val="0"/>
              <w:snapToGrid w:val="0"/>
              <w:jc w:val="center"/>
              <w:rPr>
                <w:kern w:val="0"/>
                <w:szCs w:val="21"/>
                <w:lang w:val="zh-CN"/>
              </w:rPr>
            </w:pPr>
            <w:r>
              <w:rPr>
                <w:rFonts w:hint="eastAsia"/>
                <w:kern w:val="0"/>
                <w:szCs w:val="21"/>
                <w:lang w:val="zh-CN"/>
              </w:rPr>
              <w:t>不少于</w:t>
            </w:r>
            <w:r>
              <w:rPr>
                <w:kern w:val="0"/>
                <w:szCs w:val="21"/>
                <w:lang w:val="zh-CN"/>
              </w:rPr>
              <w:t>240</w:t>
            </w:r>
            <w:r>
              <w:rPr>
                <w:rFonts w:hint="eastAsia"/>
                <w:kern w:val="0"/>
                <w:szCs w:val="21"/>
                <w:lang w:val="zh-CN"/>
              </w:rPr>
              <w:t>路，不低于</w:t>
            </w:r>
            <w:r>
              <w:rPr>
                <w:kern w:val="0"/>
                <w:szCs w:val="21"/>
                <w:lang w:val="zh-CN"/>
              </w:rPr>
              <w:t>1MSPS</w:t>
            </w:r>
          </w:p>
        </w:tc>
        <w:tc>
          <w:tcPr>
            <w:tcW w:w="1245" w:type="pct"/>
            <w:vAlign w:val="center"/>
          </w:tcPr>
          <w:p>
            <w:pPr>
              <w:widowControl/>
              <w:adjustRightInd w:val="0"/>
              <w:snapToGrid w:val="0"/>
              <w:jc w:val="center"/>
              <w:rPr>
                <w:kern w:val="0"/>
                <w:szCs w:val="21"/>
                <w:lang w:val="zh-CN"/>
              </w:rPr>
            </w:pPr>
            <w:r>
              <w:rPr>
                <w:kern w:val="0"/>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Align w:val="center"/>
          </w:tcPr>
          <w:p>
            <w:pPr>
              <w:widowControl/>
              <w:numPr>
                <w:ilvl w:val="0"/>
                <w:numId w:val="1"/>
              </w:numPr>
              <w:adjustRightInd w:val="0"/>
              <w:snapToGrid w:val="0"/>
              <w:jc w:val="center"/>
              <w:rPr>
                <w:kern w:val="0"/>
                <w:szCs w:val="21"/>
                <w:lang w:val="zh-CN"/>
              </w:rPr>
            </w:pPr>
          </w:p>
        </w:tc>
        <w:tc>
          <w:tcPr>
            <w:tcW w:w="1446" w:type="pct"/>
            <w:vAlign w:val="center"/>
          </w:tcPr>
          <w:p>
            <w:pPr>
              <w:widowControl/>
              <w:adjustRightInd w:val="0"/>
              <w:snapToGrid w:val="0"/>
              <w:jc w:val="center"/>
              <w:rPr>
                <w:kern w:val="0"/>
                <w:szCs w:val="21"/>
                <w:lang w:val="zh-CN"/>
              </w:rPr>
            </w:pPr>
            <w:r>
              <w:rPr>
                <w:rFonts w:hint="eastAsia"/>
                <w:kern w:val="0"/>
                <w:szCs w:val="21"/>
                <w:lang w:val="zh-CN"/>
              </w:rPr>
              <w:t>近地</w:t>
            </w:r>
            <w:r>
              <w:rPr>
                <w:kern w:val="0"/>
                <w:szCs w:val="21"/>
                <w:lang w:val="zh-CN"/>
              </w:rPr>
              <w:t>数据存储</w:t>
            </w:r>
          </w:p>
        </w:tc>
        <w:tc>
          <w:tcPr>
            <w:tcW w:w="1830" w:type="pct"/>
            <w:vAlign w:val="center"/>
          </w:tcPr>
          <w:p>
            <w:pPr>
              <w:widowControl/>
              <w:adjustRightInd w:val="0"/>
              <w:snapToGrid w:val="0"/>
              <w:jc w:val="center"/>
              <w:rPr>
                <w:kern w:val="0"/>
                <w:szCs w:val="21"/>
                <w:lang w:val="zh-CN"/>
              </w:rPr>
            </w:pPr>
            <w:r>
              <w:rPr>
                <w:rFonts w:hint="eastAsia"/>
                <w:kern w:val="0"/>
                <w:szCs w:val="21"/>
                <w:lang w:val="zh-CN"/>
              </w:rPr>
              <w:t>不小于</w:t>
            </w:r>
            <w:r>
              <w:rPr>
                <w:kern w:val="0"/>
                <w:szCs w:val="21"/>
                <w:lang w:val="zh-CN"/>
              </w:rPr>
              <w:t>100TB</w:t>
            </w:r>
          </w:p>
        </w:tc>
        <w:tc>
          <w:tcPr>
            <w:tcW w:w="1245" w:type="pct"/>
            <w:vAlign w:val="center"/>
          </w:tcPr>
          <w:p>
            <w:pPr>
              <w:widowControl/>
              <w:adjustRightInd w:val="0"/>
              <w:snapToGrid w:val="0"/>
              <w:jc w:val="center"/>
              <w:rPr>
                <w:kern w:val="0"/>
                <w:szCs w:val="21"/>
                <w:lang w:val="zh-CN"/>
              </w:rPr>
            </w:pPr>
            <w:r>
              <w:rPr>
                <w:kern w:val="0"/>
                <w:szCs w:val="21"/>
                <w:lang w:val="zh-CN"/>
              </w:rPr>
              <w:t>可扩容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Align w:val="center"/>
          </w:tcPr>
          <w:p>
            <w:pPr>
              <w:widowControl/>
              <w:numPr>
                <w:ilvl w:val="0"/>
                <w:numId w:val="1"/>
              </w:numPr>
              <w:adjustRightInd w:val="0"/>
              <w:snapToGrid w:val="0"/>
              <w:jc w:val="center"/>
              <w:rPr>
                <w:kern w:val="0"/>
                <w:szCs w:val="21"/>
                <w:lang w:val="zh-CN"/>
              </w:rPr>
            </w:pPr>
          </w:p>
        </w:tc>
        <w:tc>
          <w:tcPr>
            <w:tcW w:w="1446" w:type="pct"/>
            <w:vAlign w:val="center"/>
          </w:tcPr>
          <w:p>
            <w:pPr>
              <w:widowControl/>
              <w:adjustRightInd w:val="0"/>
              <w:snapToGrid w:val="0"/>
              <w:jc w:val="center"/>
              <w:rPr>
                <w:kern w:val="0"/>
                <w:szCs w:val="21"/>
                <w:lang w:val="zh-CN"/>
              </w:rPr>
            </w:pPr>
            <w:r>
              <w:rPr>
                <w:rFonts w:hint="eastAsia"/>
                <w:kern w:val="0"/>
                <w:szCs w:val="21"/>
                <w:lang w:val="zh-CN"/>
              </w:rPr>
              <w:t>临近</w:t>
            </w:r>
            <w:r>
              <w:rPr>
                <w:kern w:val="0"/>
                <w:szCs w:val="21"/>
                <w:lang w:val="zh-CN"/>
              </w:rPr>
              <w:t>数据存储</w:t>
            </w:r>
          </w:p>
        </w:tc>
        <w:tc>
          <w:tcPr>
            <w:tcW w:w="1830" w:type="pct"/>
            <w:vAlign w:val="center"/>
          </w:tcPr>
          <w:p>
            <w:pPr>
              <w:widowControl/>
              <w:adjustRightInd w:val="0"/>
              <w:snapToGrid w:val="0"/>
              <w:jc w:val="center"/>
              <w:rPr>
                <w:kern w:val="0"/>
                <w:szCs w:val="21"/>
                <w:lang w:val="zh-CN"/>
              </w:rPr>
            </w:pPr>
            <w:r>
              <w:rPr>
                <w:rFonts w:hint="eastAsia"/>
                <w:kern w:val="0"/>
                <w:szCs w:val="21"/>
                <w:lang w:val="zh-CN"/>
              </w:rPr>
              <w:t>不小于</w:t>
            </w:r>
            <w:r>
              <w:rPr>
                <w:kern w:val="0"/>
                <w:szCs w:val="21"/>
                <w:lang w:val="zh-CN"/>
              </w:rPr>
              <w:t>100TB</w:t>
            </w:r>
          </w:p>
        </w:tc>
        <w:tc>
          <w:tcPr>
            <w:tcW w:w="1245" w:type="pct"/>
            <w:vAlign w:val="center"/>
          </w:tcPr>
          <w:p>
            <w:pPr>
              <w:widowControl/>
              <w:adjustRightInd w:val="0"/>
              <w:snapToGrid w:val="0"/>
              <w:jc w:val="center"/>
              <w:rPr>
                <w:kern w:val="0"/>
                <w:szCs w:val="21"/>
                <w:lang w:val="zh-CN"/>
              </w:rPr>
            </w:pPr>
            <w:r>
              <w:rPr>
                <w:kern w:val="0"/>
                <w:szCs w:val="21"/>
                <w:lang w:val="zh-CN"/>
              </w:rPr>
              <w:t>可扩容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Align w:val="center"/>
          </w:tcPr>
          <w:p>
            <w:pPr>
              <w:widowControl/>
              <w:numPr>
                <w:ilvl w:val="0"/>
                <w:numId w:val="1"/>
              </w:numPr>
              <w:adjustRightInd w:val="0"/>
              <w:snapToGrid w:val="0"/>
              <w:jc w:val="center"/>
              <w:rPr>
                <w:kern w:val="0"/>
                <w:szCs w:val="21"/>
                <w:lang w:val="zh-CN"/>
              </w:rPr>
            </w:pPr>
          </w:p>
        </w:tc>
        <w:tc>
          <w:tcPr>
            <w:tcW w:w="1446" w:type="pct"/>
            <w:vAlign w:val="center"/>
          </w:tcPr>
          <w:p>
            <w:pPr>
              <w:widowControl/>
              <w:adjustRightInd w:val="0"/>
              <w:snapToGrid w:val="0"/>
              <w:jc w:val="center"/>
              <w:rPr>
                <w:kern w:val="0"/>
                <w:szCs w:val="21"/>
                <w:lang w:val="zh-CN"/>
              </w:rPr>
            </w:pPr>
            <w:r>
              <w:rPr>
                <w:kern w:val="0"/>
                <w:szCs w:val="21"/>
                <w:lang w:val="zh-CN"/>
              </w:rPr>
              <w:t>安全联锁保护</w:t>
            </w:r>
          </w:p>
        </w:tc>
        <w:tc>
          <w:tcPr>
            <w:tcW w:w="1830" w:type="pct"/>
            <w:vAlign w:val="center"/>
          </w:tcPr>
          <w:p>
            <w:pPr>
              <w:widowControl/>
              <w:adjustRightInd w:val="0"/>
              <w:snapToGrid w:val="0"/>
              <w:jc w:val="center"/>
              <w:rPr>
                <w:kern w:val="0"/>
                <w:szCs w:val="21"/>
                <w:lang w:val="zh-CN"/>
              </w:rPr>
            </w:pPr>
            <w:r>
              <w:rPr>
                <w:rFonts w:hint="eastAsia"/>
                <w:kern w:val="0"/>
                <w:szCs w:val="21"/>
                <w:lang w:val="zh-CN"/>
              </w:rPr>
              <w:t>控制模块的</w:t>
            </w:r>
            <w:r>
              <w:rPr>
                <w:kern w:val="0"/>
                <w:szCs w:val="21"/>
                <w:lang w:val="zh-CN"/>
              </w:rPr>
              <w:t>输入输出反应时间</w:t>
            </w:r>
            <w:r>
              <w:rPr>
                <w:rFonts w:hint="eastAsia"/>
                <w:kern w:val="0"/>
                <w:szCs w:val="21"/>
                <w:lang w:val="zh-CN"/>
              </w:rPr>
              <w:t>≤</w:t>
            </w:r>
            <w:r>
              <w:rPr>
                <w:kern w:val="0"/>
                <w:szCs w:val="21"/>
                <w:lang w:val="zh-CN"/>
              </w:rPr>
              <w:t>10ms</w:t>
            </w:r>
          </w:p>
        </w:tc>
        <w:tc>
          <w:tcPr>
            <w:tcW w:w="1245" w:type="pct"/>
            <w:vAlign w:val="center"/>
          </w:tcPr>
          <w:p>
            <w:pPr>
              <w:widowControl/>
              <w:adjustRightInd w:val="0"/>
              <w:snapToGrid w:val="0"/>
              <w:jc w:val="center"/>
              <w:rPr>
                <w:kern w:val="0"/>
                <w:szCs w:val="21"/>
                <w:highlight w:val="yellow"/>
                <w:lang w:val="zh-CN"/>
              </w:rPr>
            </w:pPr>
            <w:r>
              <w:rPr>
                <w:kern w:val="0"/>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Align w:val="center"/>
          </w:tcPr>
          <w:p>
            <w:pPr>
              <w:widowControl/>
              <w:numPr>
                <w:ilvl w:val="0"/>
                <w:numId w:val="1"/>
              </w:numPr>
              <w:adjustRightInd w:val="0"/>
              <w:snapToGrid w:val="0"/>
              <w:jc w:val="center"/>
              <w:rPr>
                <w:kern w:val="0"/>
                <w:szCs w:val="21"/>
                <w:lang w:val="zh-CN"/>
              </w:rPr>
            </w:pPr>
          </w:p>
        </w:tc>
        <w:tc>
          <w:tcPr>
            <w:tcW w:w="1446" w:type="pct"/>
            <w:vAlign w:val="center"/>
          </w:tcPr>
          <w:p>
            <w:pPr>
              <w:widowControl/>
              <w:adjustRightInd w:val="0"/>
              <w:snapToGrid w:val="0"/>
              <w:jc w:val="center"/>
              <w:rPr>
                <w:kern w:val="0"/>
                <w:szCs w:val="21"/>
                <w:lang w:val="zh-CN"/>
              </w:rPr>
            </w:pPr>
            <w:r>
              <w:rPr>
                <w:kern w:val="0"/>
                <w:szCs w:val="21"/>
                <w:lang w:val="zh-CN"/>
              </w:rPr>
              <w:t>实验控制软件框架</w:t>
            </w:r>
          </w:p>
        </w:tc>
        <w:tc>
          <w:tcPr>
            <w:tcW w:w="1830" w:type="pct"/>
            <w:vAlign w:val="center"/>
          </w:tcPr>
          <w:p>
            <w:pPr>
              <w:widowControl/>
              <w:adjustRightInd w:val="0"/>
              <w:snapToGrid w:val="0"/>
              <w:jc w:val="center"/>
              <w:rPr>
                <w:kern w:val="0"/>
                <w:szCs w:val="21"/>
                <w:lang w:val="zh-CN"/>
              </w:rPr>
            </w:pPr>
            <w:r>
              <w:rPr>
                <w:kern w:val="0"/>
                <w:szCs w:val="21"/>
                <w:lang w:val="zh-CN"/>
              </w:rPr>
              <w:t>EPICS</w:t>
            </w:r>
          </w:p>
        </w:tc>
        <w:tc>
          <w:tcPr>
            <w:tcW w:w="1245" w:type="pct"/>
            <w:vAlign w:val="center"/>
          </w:tcPr>
          <w:p>
            <w:pPr>
              <w:widowControl/>
              <w:adjustRightInd w:val="0"/>
              <w:snapToGrid w:val="0"/>
              <w:jc w:val="center"/>
              <w:rPr>
                <w:kern w:val="0"/>
                <w:szCs w:val="21"/>
                <w:lang w:val="zh-CN"/>
              </w:rPr>
            </w:pPr>
            <w:r>
              <w:rPr>
                <w:kern w:val="0"/>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Align w:val="center"/>
          </w:tcPr>
          <w:p>
            <w:pPr>
              <w:widowControl/>
              <w:numPr>
                <w:ilvl w:val="0"/>
                <w:numId w:val="1"/>
              </w:numPr>
              <w:adjustRightInd w:val="0"/>
              <w:snapToGrid w:val="0"/>
              <w:jc w:val="center"/>
              <w:rPr>
                <w:kern w:val="0"/>
                <w:szCs w:val="21"/>
                <w:lang w:val="zh-CN"/>
              </w:rPr>
            </w:pPr>
          </w:p>
        </w:tc>
        <w:tc>
          <w:tcPr>
            <w:tcW w:w="1446" w:type="pct"/>
            <w:vAlign w:val="center"/>
          </w:tcPr>
          <w:p>
            <w:pPr>
              <w:widowControl/>
              <w:adjustRightInd w:val="0"/>
              <w:snapToGrid w:val="0"/>
              <w:jc w:val="center"/>
              <w:rPr>
                <w:kern w:val="0"/>
                <w:szCs w:val="21"/>
                <w:lang w:val="zh-CN"/>
              </w:rPr>
            </w:pPr>
            <w:r>
              <w:rPr>
                <w:kern w:val="0"/>
                <w:szCs w:val="21"/>
                <w:lang w:val="zh-CN"/>
              </w:rPr>
              <w:t>网络带宽</w:t>
            </w:r>
          </w:p>
        </w:tc>
        <w:tc>
          <w:tcPr>
            <w:tcW w:w="1830" w:type="pct"/>
            <w:vAlign w:val="center"/>
          </w:tcPr>
          <w:p>
            <w:pPr>
              <w:widowControl/>
              <w:adjustRightInd w:val="0"/>
              <w:snapToGrid w:val="0"/>
              <w:jc w:val="center"/>
              <w:rPr>
                <w:kern w:val="0"/>
                <w:szCs w:val="21"/>
                <w:lang w:val="zh-CN"/>
              </w:rPr>
            </w:pPr>
            <w:r>
              <w:rPr>
                <w:kern w:val="0"/>
                <w:szCs w:val="21"/>
                <w:lang w:val="zh-CN"/>
              </w:rPr>
              <w:t>核心网10Gb，主干网1Gb</w:t>
            </w:r>
          </w:p>
        </w:tc>
        <w:tc>
          <w:tcPr>
            <w:tcW w:w="1245" w:type="pct"/>
            <w:vAlign w:val="center"/>
          </w:tcPr>
          <w:p>
            <w:pPr>
              <w:widowControl/>
              <w:adjustRightInd w:val="0"/>
              <w:snapToGrid w:val="0"/>
              <w:jc w:val="center"/>
              <w:rPr>
                <w:kern w:val="0"/>
                <w:szCs w:val="21"/>
                <w:lang w:val="zh-CN"/>
              </w:rPr>
            </w:pPr>
            <w:r>
              <w:rPr>
                <w:kern w:val="0"/>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Align w:val="center"/>
          </w:tcPr>
          <w:p>
            <w:pPr>
              <w:widowControl/>
              <w:numPr>
                <w:ilvl w:val="0"/>
                <w:numId w:val="1"/>
              </w:numPr>
              <w:adjustRightInd w:val="0"/>
              <w:snapToGrid w:val="0"/>
              <w:jc w:val="center"/>
              <w:rPr>
                <w:kern w:val="0"/>
                <w:szCs w:val="21"/>
                <w:lang w:val="zh-CN"/>
              </w:rPr>
            </w:pPr>
          </w:p>
        </w:tc>
        <w:tc>
          <w:tcPr>
            <w:tcW w:w="1446" w:type="pct"/>
            <w:vAlign w:val="center"/>
          </w:tcPr>
          <w:p>
            <w:pPr>
              <w:widowControl/>
              <w:adjustRightInd w:val="0"/>
              <w:snapToGrid w:val="0"/>
              <w:jc w:val="center"/>
              <w:rPr>
                <w:kern w:val="0"/>
                <w:szCs w:val="21"/>
                <w:lang w:val="zh-CN"/>
              </w:rPr>
            </w:pPr>
            <w:r>
              <w:rPr>
                <w:rFonts w:hint="eastAsia"/>
                <w:kern w:val="0"/>
                <w:szCs w:val="21"/>
                <w:lang w:val="zh-CN"/>
              </w:rPr>
              <w:t>近地</w:t>
            </w:r>
            <w:r>
              <w:rPr>
                <w:kern w:val="0"/>
                <w:szCs w:val="21"/>
                <w:lang w:val="zh-CN"/>
              </w:rPr>
              <w:t>定时同步</w:t>
            </w:r>
          </w:p>
        </w:tc>
        <w:tc>
          <w:tcPr>
            <w:tcW w:w="1830" w:type="pct"/>
            <w:vAlign w:val="center"/>
          </w:tcPr>
          <w:p>
            <w:pPr>
              <w:widowControl/>
              <w:adjustRightInd w:val="0"/>
              <w:snapToGrid w:val="0"/>
              <w:jc w:val="center"/>
              <w:rPr>
                <w:kern w:val="0"/>
                <w:szCs w:val="21"/>
                <w:lang w:val="zh-CN"/>
              </w:rPr>
            </w:pPr>
            <w:r>
              <w:rPr>
                <w:kern w:val="0"/>
                <w:szCs w:val="21"/>
                <w:lang w:val="zh-CN"/>
              </w:rPr>
              <w:t>触发通道≥64路，同步精度优于20ns</w:t>
            </w:r>
          </w:p>
        </w:tc>
        <w:tc>
          <w:tcPr>
            <w:tcW w:w="1245" w:type="pct"/>
            <w:vAlign w:val="center"/>
          </w:tcPr>
          <w:p>
            <w:pPr>
              <w:widowControl/>
              <w:adjustRightInd w:val="0"/>
              <w:snapToGrid w:val="0"/>
              <w:jc w:val="center"/>
              <w:rPr>
                <w:kern w:val="0"/>
                <w:szCs w:val="21"/>
                <w:lang w:val="zh-CN"/>
              </w:rPr>
            </w:pPr>
            <w:r>
              <w:rPr>
                <w:kern w:val="0"/>
                <w:szCs w:val="21"/>
                <w:lang w:val="zh-CN"/>
              </w:rPr>
              <w:t>可扩展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Align w:val="center"/>
          </w:tcPr>
          <w:p>
            <w:pPr>
              <w:widowControl/>
              <w:numPr>
                <w:ilvl w:val="0"/>
                <w:numId w:val="1"/>
              </w:numPr>
              <w:adjustRightInd w:val="0"/>
              <w:snapToGrid w:val="0"/>
              <w:jc w:val="center"/>
              <w:rPr>
                <w:kern w:val="0"/>
                <w:szCs w:val="21"/>
                <w:lang w:val="zh-CN"/>
              </w:rPr>
            </w:pPr>
          </w:p>
        </w:tc>
        <w:tc>
          <w:tcPr>
            <w:tcW w:w="1446" w:type="pct"/>
            <w:vAlign w:val="center"/>
          </w:tcPr>
          <w:p>
            <w:pPr>
              <w:widowControl/>
              <w:adjustRightInd w:val="0"/>
              <w:snapToGrid w:val="0"/>
              <w:jc w:val="center"/>
              <w:rPr>
                <w:kern w:val="0"/>
                <w:szCs w:val="21"/>
                <w:lang w:val="zh-CN"/>
              </w:rPr>
            </w:pPr>
            <w:r>
              <w:rPr>
                <w:rFonts w:hint="eastAsia"/>
                <w:kern w:val="0"/>
                <w:szCs w:val="21"/>
                <w:lang w:val="zh-CN"/>
              </w:rPr>
              <w:t>临近</w:t>
            </w:r>
            <w:r>
              <w:rPr>
                <w:kern w:val="0"/>
                <w:szCs w:val="21"/>
                <w:lang w:val="zh-CN"/>
              </w:rPr>
              <w:t>定时同步</w:t>
            </w:r>
          </w:p>
        </w:tc>
        <w:tc>
          <w:tcPr>
            <w:tcW w:w="1830" w:type="pct"/>
            <w:vAlign w:val="center"/>
          </w:tcPr>
          <w:p>
            <w:pPr>
              <w:widowControl/>
              <w:adjustRightInd w:val="0"/>
              <w:snapToGrid w:val="0"/>
              <w:jc w:val="center"/>
              <w:rPr>
                <w:kern w:val="0"/>
                <w:szCs w:val="21"/>
                <w:lang w:val="zh-CN"/>
              </w:rPr>
            </w:pPr>
            <w:r>
              <w:rPr>
                <w:kern w:val="0"/>
                <w:szCs w:val="21"/>
                <w:lang w:val="zh-CN"/>
              </w:rPr>
              <w:t>触发通道≥32路，同步精度优于1μs</w:t>
            </w:r>
          </w:p>
        </w:tc>
        <w:tc>
          <w:tcPr>
            <w:tcW w:w="1245" w:type="pct"/>
            <w:vAlign w:val="center"/>
          </w:tcPr>
          <w:p>
            <w:pPr>
              <w:widowControl/>
              <w:adjustRightInd w:val="0"/>
              <w:snapToGrid w:val="0"/>
              <w:jc w:val="center"/>
              <w:rPr>
                <w:kern w:val="0"/>
                <w:szCs w:val="21"/>
                <w:lang w:val="zh-CN"/>
              </w:rPr>
            </w:pPr>
            <w:r>
              <w:rPr>
                <w:kern w:val="0"/>
                <w:szCs w:val="21"/>
                <w:lang w:val="zh-CN"/>
              </w:rPr>
              <w:t>可扩展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Align w:val="center"/>
          </w:tcPr>
          <w:p>
            <w:pPr>
              <w:widowControl/>
              <w:numPr>
                <w:ilvl w:val="0"/>
                <w:numId w:val="1"/>
              </w:numPr>
              <w:adjustRightInd w:val="0"/>
              <w:snapToGrid w:val="0"/>
              <w:jc w:val="center"/>
              <w:rPr>
                <w:kern w:val="0"/>
                <w:szCs w:val="21"/>
                <w:lang w:val="zh-CN"/>
              </w:rPr>
            </w:pPr>
          </w:p>
        </w:tc>
        <w:tc>
          <w:tcPr>
            <w:tcW w:w="1446" w:type="pct"/>
            <w:vAlign w:val="center"/>
          </w:tcPr>
          <w:p>
            <w:pPr>
              <w:widowControl/>
              <w:adjustRightInd w:val="0"/>
              <w:snapToGrid w:val="0"/>
              <w:jc w:val="center"/>
              <w:rPr>
                <w:kern w:val="0"/>
                <w:szCs w:val="21"/>
                <w:lang w:val="zh-CN"/>
              </w:rPr>
            </w:pPr>
            <w:r>
              <w:rPr>
                <w:kern w:val="0"/>
                <w:szCs w:val="21"/>
                <w:lang w:val="zh-CN"/>
              </w:rPr>
              <w:t>中央定时时基</w:t>
            </w:r>
          </w:p>
        </w:tc>
        <w:tc>
          <w:tcPr>
            <w:tcW w:w="1830" w:type="pct"/>
            <w:vAlign w:val="center"/>
          </w:tcPr>
          <w:p>
            <w:pPr>
              <w:widowControl/>
              <w:adjustRightInd w:val="0"/>
              <w:snapToGrid w:val="0"/>
              <w:jc w:val="center"/>
              <w:rPr>
                <w:kern w:val="0"/>
                <w:szCs w:val="21"/>
                <w:lang w:val="zh-CN"/>
              </w:rPr>
            </w:pPr>
            <w:r>
              <w:rPr>
                <w:kern w:val="0"/>
                <w:szCs w:val="21"/>
                <w:lang w:val="zh-CN"/>
              </w:rPr>
              <w:t>稳定度优于</w:t>
            </w:r>
            <w:r>
              <w:rPr>
                <w:kern w:val="0"/>
                <w:szCs w:val="21"/>
              </w:rPr>
              <w:t>50ppb</w:t>
            </w:r>
          </w:p>
        </w:tc>
        <w:tc>
          <w:tcPr>
            <w:tcW w:w="1245" w:type="pct"/>
            <w:vAlign w:val="center"/>
          </w:tcPr>
          <w:p>
            <w:pPr>
              <w:widowControl/>
              <w:adjustRightInd w:val="0"/>
              <w:snapToGrid w:val="0"/>
              <w:jc w:val="center"/>
              <w:rPr>
                <w:kern w:val="0"/>
                <w:szCs w:val="21"/>
                <w:lang w:val="zh-CN"/>
              </w:rPr>
            </w:pPr>
            <w:r>
              <w:rPr>
                <w:kern w:val="0"/>
                <w:szCs w:val="21"/>
                <w:lang w:val="zh-CN"/>
              </w:rPr>
              <w:t>可扩展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Align w:val="center"/>
          </w:tcPr>
          <w:p>
            <w:pPr>
              <w:widowControl/>
              <w:numPr>
                <w:ilvl w:val="0"/>
                <w:numId w:val="1"/>
              </w:numPr>
              <w:adjustRightInd w:val="0"/>
              <w:snapToGrid w:val="0"/>
              <w:jc w:val="center"/>
              <w:rPr>
                <w:kern w:val="0"/>
                <w:szCs w:val="21"/>
                <w:lang w:val="zh-CN"/>
              </w:rPr>
            </w:pPr>
          </w:p>
        </w:tc>
        <w:tc>
          <w:tcPr>
            <w:tcW w:w="1446" w:type="pct"/>
            <w:vAlign w:val="center"/>
          </w:tcPr>
          <w:p>
            <w:pPr>
              <w:widowControl/>
              <w:adjustRightInd w:val="0"/>
              <w:snapToGrid w:val="0"/>
              <w:jc w:val="center"/>
              <w:rPr>
                <w:kern w:val="0"/>
                <w:szCs w:val="21"/>
                <w:lang w:val="zh-CN"/>
              </w:rPr>
            </w:pPr>
            <w:r>
              <w:rPr>
                <w:kern w:val="0"/>
                <w:szCs w:val="21"/>
                <w:lang w:val="zh-CN"/>
              </w:rPr>
              <w:t>视频监控</w:t>
            </w:r>
          </w:p>
        </w:tc>
        <w:tc>
          <w:tcPr>
            <w:tcW w:w="1830" w:type="pct"/>
            <w:vAlign w:val="center"/>
          </w:tcPr>
          <w:p>
            <w:pPr>
              <w:widowControl/>
              <w:adjustRightInd w:val="0"/>
              <w:snapToGrid w:val="0"/>
              <w:jc w:val="center"/>
              <w:rPr>
                <w:kern w:val="0"/>
                <w:szCs w:val="21"/>
                <w:lang w:val="zh-CN"/>
              </w:rPr>
            </w:pPr>
            <w:r>
              <w:rPr>
                <w:kern w:val="0"/>
                <w:szCs w:val="21"/>
                <w:lang w:val="zh-CN"/>
              </w:rPr>
              <w:t>24H×7D，保存时间7天</w:t>
            </w:r>
          </w:p>
        </w:tc>
        <w:tc>
          <w:tcPr>
            <w:tcW w:w="1245" w:type="pct"/>
            <w:vAlign w:val="center"/>
          </w:tcPr>
          <w:p>
            <w:pPr>
              <w:widowControl/>
              <w:adjustRightInd w:val="0"/>
              <w:snapToGrid w:val="0"/>
              <w:jc w:val="center"/>
              <w:rPr>
                <w:kern w:val="0"/>
                <w:szCs w:val="21"/>
                <w:lang w:val="zh-CN"/>
              </w:rPr>
            </w:pPr>
            <w:r>
              <w:rPr>
                <w:kern w:val="0"/>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Align w:val="center"/>
          </w:tcPr>
          <w:p>
            <w:pPr>
              <w:widowControl/>
              <w:numPr>
                <w:ilvl w:val="0"/>
                <w:numId w:val="1"/>
              </w:numPr>
              <w:adjustRightInd w:val="0"/>
              <w:snapToGrid w:val="0"/>
              <w:jc w:val="center"/>
              <w:rPr>
                <w:kern w:val="0"/>
                <w:szCs w:val="21"/>
                <w:lang w:val="zh-CN"/>
              </w:rPr>
            </w:pPr>
          </w:p>
        </w:tc>
        <w:tc>
          <w:tcPr>
            <w:tcW w:w="1446" w:type="pct"/>
            <w:vAlign w:val="center"/>
          </w:tcPr>
          <w:p>
            <w:pPr>
              <w:widowControl/>
              <w:adjustRightInd w:val="0"/>
              <w:snapToGrid w:val="0"/>
              <w:jc w:val="center"/>
              <w:rPr>
                <w:kern w:val="0"/>
                <w:szCs w:val="21"/>
                <w:lang w:val="zh-CN"/>
              </w:rPr>
            </w:pPr>
            <w:r>
              <w:rPr>
                <w:rFonts w:hint="eastAsia"/>
                <w:kern w:val="0"/>
                <w:szCs w:val="21"/>
                <w:lang w:val="zh-CN"/>
              </w:rPr>
              <w:t>UPS</w:t>
            </w:r>
          </w:p>
        </w:tc>
        <w:tc>
          <w:tcPr>
            <w:tcW w:w="1830" w:type="pct"/>
            <w:vAlign w:val="center"/>
          </w:tcPr>
          <w:p>
            <w:pPr>
              <w:widowControl/>
              <w:adjustRightInd w:val="0"/>
              <w:snapToGrid w:val="0"/>
              <w:jc w:val="center"/>
              <w:rPr>
                <w:kern w:val="0"/>
                <w:szCs w:val="21"/>
                <w:lang w:val="zh-CN"/>
              </w:rPr>
            </w:pPr>
            <w:r>
              <w:rPr>
                <w:rFonts w:hint="eastAsia"/>
                <w:kern w:val="0"/>
                <w:szCs w:val="21"/>
                <w:lang w:val="zh-CN"/>
              </w:rPr>
              <w:t>20KVA、30KVA容量各1套</w:t>
            </w:r>
          </w:p>
        </w:tc>
        <w:tc>
          <w:tcPr>
            <w:tcW w:w="1245" w:type="pct"/>
            <w:vAlign w:val="center"/>
          </w:tcPr>
          <w:p>
            <w:pPr>
              <w:widowControl/>
              <w:adjustRightInd w:val="0"/>
              <w:snapToGrid w:val="0"/>
              <w:jc w:val="center"/>
              <w:rPr>
                <w:kern w:val="0"/>
                <w:szCs w:val="21"/>
                <w:lang w:val="zh-CN"/>
              </w:rPr>
            </w:pPr>
            <w:r>
              <w:rPr>
                <w:rFonts w:hint="eastAsia"/>
                <w:kern w:val="0"/>
                <w:szCs w:val="21"/>
                <w:lang w:val="zh-CN"/>
              </w:rPr>
              <w:t>UPS电池续航时间不小于15min</w:t>
            </w:r>
            <w:r>
              <w:rPr>
                <w:kern w:val="0"/>
                <w:szCs w:val="21"/>
                <w:lang w:val="zh-CN"/>
              </w:rPr>
              <w:t xml:space="preserve"> </w:t>
            </w:r>
          </w:p>
        </w:tc>
      </w:tr>
    </w:tbl>
    <w:p>
      <w:pPr>
        <w:numPr>
          <w:ilvl w:val="1"/>
          <w:numId w:val="2"/>
        </w:numPr>
        <w:rPr>
          <w:b/>
          <w:szCs w:val="21"/>
        </w:rPr>
      </w:pPr>
      <w:r>
        <w:rPr>
          <w:b/>
          <w:szCs w:val="21"/>
        </w:rPr>
        <w:t>设备的布局、摆放位置、与其他设备或基建协调、要求等</w:t>
      </w:r>
    </w:p>
    <w:p>
      <w:pPr>
        <w:adjustRightInd w:val="0"/>
        <w:snapToGrid w:val="0"/>
        <w:ind w:left="422" w:firstLine="420" w:firstLineChars="200"/>
        <w:rPr>
          <w:szCs w:val="21"/>
        </w:rPr>
      </w:pPr>
      <w:r>
        <w:rPr>
          <w:rFonts w:hint="eastAsia"/>
          <w:szCs w:val="21"/>
        </w:rPr>
        <w:t>进行数据采集与控制子系统方案设计时要充分考虑现有基建所具备的条件，要满足上节3.1中所述的与等离子体实验装置摆放、实验区布局、与其他设备或基建的相关协调、要求等。系统总布局如下</w:t>
      </w:r>
      <w:r>
        <w:rPr>
          <w:rFonts w:eastAsia="仿宋"/>
          <w:bCs/>
          <w:kern w:val="0"/>
          <w:szCs w:val="21"/>
        </w:rPr>
        <w:t>图</w:t>
      </w:r>
      <w:r>
        <w:rPr>
          <w:szCs w:val="21"/>
        </w:rPr>
        <w:t>11</w:t>
      </w:r>
      <w:r>
        <w:rPr>
          <w:rFonts w:hint="eastAsia"/>
          <w:szCs w:val="21"/>
        </w:rPr>
        <w:t>所示：</w:t>
      </w:r>
    </w:p>
    <w:p>
      <w:pPr>
        <w:jc w:val="center"/>
        <w:rPr>
          <w:szCs w:val="21"/>
        </w:rPr>
      </w:pPr>
      <w:r>
        <w:rPr>
          <w:szCs w:val="21"/>
        </w:rPr>
        <w:drawing>
          <wp:inline distT="0" distB="0" distL="0" distR="0">
            <wp:extent cx="6233795" cy="3736975"/>
            <wp:effectExtent l="0" t="0" r="14605" b="15875"/>
            <wp:docPr id="6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9"/>
                    <pic:cNvPicPr>
                      <a:picLocks noChangeAspect="1" noChangeArrowheads="1"/>
                    </pic:cNvPicPr>
                  </pic:nvPicPr>
                  <pic:blipFill>
                    <a:blip r:embed="rId10" cstate="print"/>
                    <a:srcRect l="3514" t="24802" r="11084" b="9050"/>
                    <a:stretch>
                      <a:fillRect/>
                    </a:stretch>
                  </pic:blipFill>
                  <pic:spPr>
                    <a:xfrm>
                      <a:off x="0" y="0"/>
                      <a:ext cx="6233795" cy="3736975"/>
                    </a:xfrm>
                    <a:prstGeom prst="rect">
                      <a:avLst/>
                    </a:prstGeom>
                    <a:noFill/>
                    <a:ln w="9525" cmpd="sng">
                      <a:noFill/>
                      <a:miter lim="800000"/>
                      <a:headEnd/>
                      <a:tailEnd/>
                    </a:ln>
                  </pic:spPr>
                </pic:pic>
              </a:graphicData>
            </a:graphic>
          </wp:inline>
        </w:drawing>
      </w:r>
    </w:p>
    <w:p>
      <w:pPr>
        <w:ind w:left="422"/>
        <w:jc w:val="center"/>
        <w:rPr>
          <w:szCs w:val="21"/>
        </w:rPr>
      </w:pPr>
      <w:r>
        <w:rPr>
          <w:szCs w:val="21"/>
        </w:rPr>
        <w:t xml:space="preserve">图11 </w:t>
      </w:r>
      <w:r>
        <w:rPr>
          <w:rFonts w:hint="eastAsia"/>
          <w:szCs w:val="21"/>
        </w:rPr>
        <w:t>等离子系统总体</w:t>
      </w:r>
      <w:r>
        <w:rPr>
          <w:szCs w:val="21"/>
        </w:rPr>
        <w:t>布局图</w:t>
      </w:r>
    </w:p>
    <w:p>
      <w:pPr>
        <w:rPr>
          <w:szCs w:val="21"/>
        </w:rPr>
      </w:pPr>
    </w:p>
    <w:p>
      <w:pPr>
        <w:adjustRightInd w:val="0"/>
        <w:snapToGrid w:val="0"/>
        <w:ind w:left="422"/>
        <w:rPr>
          <w:b/>
          <w:szCs w:val="21"/>
        </w:rPr>
      </w:pPr>
      <w:r>
        <w:rPr>
          <w:b/>
          <w:szCs w:val="21"/>
        </w:rPr>
        <w:t xml:space="preserve">3.3设备图纸要求 </w:t>
      </w:r>
    </w:p>
    <w:p>
      <w:pPr>
        <w:adjustRightInd w:val="0"/>
        <w:snapToGrid w:val="0"/>
        <w:ind w:left="422"/>
        <w:rPr>
          <w:szCs w:val="21"/>
        </w:rPr>
      </w:pPr>
      <w:r>
        <w:rPr>
          <w:szCs w:val="21"/>
        </w:rPr>
        <w:t>无。</w:t>
      </w:r>
    </w:p>
    <w:p>
      <w:pPr>
        <w:adjustRightInd w:val="0"/>
        <w:snapToGrid w:val="0"/>
        <w:ind w:left="422"/>
        <w:rPr>
          <w:b/>
          <w:szCs w:val="21"/>
        </w:rPr>
      </w:pPr>
      <w:r>
        <w:rPr>
          <w:b/>
          <w:szCs w:val="21"/>
        </w:rPr>
        <w:t xml:space="preserve">3.4设备采用的标准 </w:t>
      </w:r>
    </w:p>
    <w:p>
      <w:pPr>
        <w:adjustRightInd w:val="0"/>
        <w:snapToGrid w:val="0"/>
        <w:ind w:left="422"/>
        <w:rPr>
          <w:b/>
          <w:szCs w:val="21"/>
        </w:rPr>
      </w:pPr>
      <w:r>
        <w:rPr>
          <w:b/>
          <w:szCs w:val="21"/>
        </w:rPr>
        <w:t>3.4.1哈工大制定的空间环境地面模拟装置的规范：</w:t>
      </w:r>
    </w:p>
    <w:p>
      <w:pPr>
        <w:adjustRightInd w:val="0"/>
        <w:snapToGrid w:val="0"/>
        <w:ind w:left="422"/>
        <w:rPr>
          <w:szCs w:val="21"/>
        </w:rPr>
      </w:pPr>
      <w:r>
        <w:rPr>
          <w:szCs w:val="21"/>
        </w:rPr>
        <w:t>1）空间环境地面模拟装置命名及编码规范</w:t>
      </w:r>
    </w:p>
    <w:p>
      <w:pPr>
        <w:adjustRightInd w:val="0"/>
        <w:snapToGrid w:val="0"/>
        <w:ind w:left="422"/>
        <w:rPr>
          <w:szCs w:val="21"/>
        </w:rPr>
      </w:pPr>
      <w:r>
        <w:rPr>
          <w:szCs w:val="21"/>
        </w:rPr>
        <w:t>2）空间环境地面模拟装置机柜机箱编号规范</w:t>
      </w:r>
    </w:p>
    <w:p>
      <w:pPr>
        <w:adjustRightInd w:val="0"/>
        <w:snapToGrid w:val="0"/>
        <w:ind w:left="422"/>
        <w:rPr>
          <w:szCs w:val="21"/>
        </w:rPr>
      </w:pPr>
      <w:r>
        <w:rPr>
          <w:szCs w:val="21"/>
        </w:rPr>
        <w:t>3）空间环境地面模拟装置线缆标识规范</w:t>
      </w:r>
    </w:p>
    <w:p>
      <w:pPr>
        <w:adjustRightInd w:val="0"/>
        <w:snapToGrid w:val="0"/>
        <w:ind w:left="422"/>
        <w:rPr>
          <w:szCs w:val="21"/>
        </w:rPr>
      </w:pPr>
      <w:r>
        <w:rPr>
          <w:szCs w:val="21"/>
        </w:rPr>
        <w:t>4）空间环境地面模拟装置机械系统图制图规范</w:t>
      </w:r>
    </w:p>
    <w:p>
      <w:pPr>
        <w:adjustRightInd w:val="0"/>
        <w:snapToGrid w:val="0"/>
        <w:ind w:left="422"/>
        <w:rPr>
          <w:szCs w:val="21"/>
        </w:rPr>
      </w:pPr>
      <w:r>
        <w:rPr>
          <w:szCs w:val="21"/>
        </w:rPr>
        <w:t>5）空间环境地面模拟装置文件编制规范</w:t>
      </w:r>
    </w:p>
    <w:p>
      <w:pPr>
        <w:adjustRightInd w:val="0"/>
        <w:snapToGrid w:val="0"/>
        <w:ind w:left="422"/>
        <w:rPr>
          <w:szCs w:val="21"/>
        </w:rPr>
      </w:pPr>
      <w:r>
        <w:rPr>
          <w:szCs w:val="21"/>
        </w:rPr>
        <w:t>6）空间环境地面模拟装置文件归档要求</w:t>
      </w:r>
    </w:p>
    <w:p>
      <w:pPr>
        <w:adjustRightInd w:val="0"/>
        <w:snapToGrid w:val="0"/>
        <w:ind w:left="422"/>
        <w:rPr>
          <w:b/>
          <w:szCs w:val="21"/>
        </w:rPr>
      </w:pPr>
      <w:r>
        <w:rPr>
          <w:b/>
          <w:szCs w:val="21"/>
        </w:rPr>
        <w:t>3.4.2国家、行业标准：</w:t>
      </w:r>
    </w:p>
    <w:p>
      <w:pPr>
        <w:adjustRightInd w:val="0"/>
        <w:snapToGrid w:val="0"/>
        <w:ind w:firstLine="420" w:firstLineChars="200"/>
        <w:textAlignment w:val="bottom"/>
        <w:rPr>
          <w:szCs w:val="21"/>
        </w:rPr>
      </w:pPr>
      <w:r>
        <w:rPr>
          <w:rFonts w:hint="eastAsia"/>
          <w:szCs w:val="21"/>
        </w:rPr>
        <w:t>设备的设计、加工、焊接、装配要符合中国国家标准或ISO国际标准的要求，企业内部标准高于国标或ISO标准的企业标准。</w:t>
      </w:r>
    </w:p>
    <w:p>
      <w:pPr>
        <w:numPr>
          <w:ilvl w:val="0"/>
          <w:numId w:val="3"/>
        </w:numPr>
        <w:adjustRightInd w:val="0"/>
        <w:snapToGrid w:val="0"/>
        <w:textAlignment w:val="bottom"/>
        <w:rPr>
          <w:szCs w:val="21"/>
        </w:rPr>
      </w:pPr>
      <w:r>
        <w:rPr>
          <w:rFonts w:hint="eastAsia"/>
          <w:szCs w:val="21"/>
        </w:rPr>
        <w:t>GB 50055-1993 《通用用电设备配电设计规范》</w:t>
      </w:r>
    </w:p>
    <w:p>
      <w:pPr>
        <w:numPr>
          <w:ilvl w:val="0"/>
          <w:numId w:val="3"/>
        </w:numPr>
        <w:adjustRightInd w:val="0"/>
        <w:snapToGrid w:val="0"/>
        <w:textAlignment w:val="bottom"/>
        <w:rPr>
          <w:szCs w:val="21"/>
        </w:rPr>
      </w:pPr>
      <w:r>
        <w:rPr>
          <w:rFonts w:hint="eastAsia"/>
          <w:szCs w:val="21"/>
        </w:rPr>
        <w:t>GB 17799-2001 《电磁兼容通用标准》</w:t>
      </w:r>
    </w:p>
    <w:p>
      <w:pPr>
        <w:numPr>
          <w:ilvl w:val="0"/>
          <w:numId w:val="3"/>
        </w:numPr>
        <w:adjustRightInd w:val="0"/>
        <w:snapToGrid w:val="0"/>
        <w:textAlignment w:val="bottom"/>
        <w:rPr>
          <w:szCs w:val="21"/>
        </w:rPr>
      </w:pPr>
      <w:r>
        <w:rPr>
          <w:rFonts w:hint="eastAsia"/>
          <w:szCs w:val="21"/>
        </w:rPr>
        <w:t>GB 50346-2004 《实验室建筑技术规范》</w:t>
      </w:r>
    </w:p>
    <w:p>
      <w:pPr>
        <w:numPr>
          <w:ilvl w:val="0"/>
          <w:numId w:val="3"/>
        </w:numPr>
        <w:adjustRightInd w:val="0"/>
        <w:snapToGrid w:val="0"/>
        <w:textAlignment w:val="bottom"/>
        <w:rPr>
          <w:szCs w:val="21"/>
        </w:rPr>
      </w:pPr>
      <w:r>
        <w:rPr>
          <w:rFonts w:hint="eastAsia"/>
          <w:szCs w:val="21"/>
        </w:rPr>
        <w:t>GB 4793.1-2007 《测量、控制和实验室用电气设备的安全要求》</w:t>
      </w:r>
    </w:p>
    <w:p>
      <w:pPr>
        <w:numPr>
          <w:ilvl w:val="0"/>
          <w:numId w:val="3"/>
        </w:numPr>
        <w:adjustRightInd w:val="0"/>
        <w:snapToGrid w:val="0"/>
        <w:textAlignment w:val="bottom"/>
        <w:rPr>
          <w:szCs w:val="21"/>
        </w:rPr>
      </w:pPr>
      <w:r>
        <w:rPr>
          <w:rFonts w:hint="eastAsia"/>
          <w:szCs w:val="21"/>
        </w:rPr>
        <w:t>GB 21052-2007 《信息系统物理安全技术要求》</w:t>
      </w:r>
    </w:p>
    <w:p>
      <w:pPr>
        <w:numPr>
          <w:ilvl w:val="0"/>
          <w:numId w:val="3"/>
        </w:numPr>
        <w:adjustRightInd w:val="0"/>
        <w:snapToGrid w:val="0"/>
        <w:textAlignment w:val="bottom"/>
        <w:rPr>
          <w:szCs w:val="21"/>
        </w:rPr>
      </w:pPr>
      <w:r>
        <w:rPr>
          <w:rFonts w:hint="eastAsia"/>
          <w:szCs w:val="21"/>
        </w:rPr>
        <w:t>GB 50217-2007 《电力工程电缆设计规范》</w:t>
      </w:r>
    </w:p>
    <w:p>
      <w:pPr>
        <w:numPr>
          <w:ilvl w:val="0"/>
          <w:numId w:val="3"/>
        </w:numPr>
        <w:adjustRightInd w:val="0"/>
        <w:snapToGrid w:val="0"/>
        <w:textAlignment w:val="bottom"/>
        <w:rPr>
          <w:szCs w:val="21"/>
        </w:rPr>
      </w:pPr>
      <w:r>
        <w:rPr>
          <w:rFonts w:hint="eastAsia"/>
          <w:szCs w:val="21"/>
        </w:rPr>
        <w:t>GB 14050-2008 《系统接地的型式及安全技术要求》</w:t>
      </w:r>
    </w:p>
    <w:p>
      <w:pPr>
        <w:numPr>
          <w:ilvl w:val="0"/>
          <w:numId w:val="3"/>
        </w:numPr>
        <w:adjustRightInd w:val="0"/>
        <w:snapToGrid w:val="0"/>
        <w:textAlignment w:val="bottom"/>
        <w:rPr>
          <w:szCs w:val="21"/>
        </w:rPr>
      </w:pPr>
      <w:r>
        <w:rPr>
          <w:rFonts w:hint="eastAsia"/>
          <w:szCs w:val="21"/>
        </w:rPr>
        <w:t>GB 3096-2008 《声环境质量标准》</w:t>
      </w:r>
    </w:p>
    <w:p>
      <w:pPr>
        <w:numPr>
          <w:ilvl w:val="0"/>
          <w:numId w:val="3"/>
        </w:numPr>
        <w:adjustRightInd w:val="0"/>
        <w:snapToGrid w:val="0"/>
        <w:textAlignment w:val="bottom"/>
        <w:rPr>
          <w:szCs w:val="21"/>
        </w:rPr>
      </w:pPr>
      <w:r>
        <w:rPr>
          <w:rFonts w:hint="eastAsia"/>
          <w:szCs w:val="21"/>
        </w:rPr>
        <w:t>GB 22337-2008 《社会生活环境噪声》</w:t>
      </w:r>
    </w:p>
    <w:p>
      <w:pPr>
        <w:numPr>
          <w:ilvl w:val="0"/>
          <w:numId w:val="3"/>
        </w:numPr>
        <w:adjustRightInd w:val="0"/>
        <w:snapToGrid w:val="0"/>
        <w:textAlignment w:val="bottom"/>
        <w:rPr>
          <w:szCs w:val="21"/>
        </w:rPr>
      </w:pPr>
      <w:r>
        <w:rPr>
          <w:rFonts w:hint="eastAsia"/>
          <w:szCs w:val="21"/>
        </w:rPr>
        <w:t>GB 50462-2008 《电子信息系统机房施工及验收规范》</w:t>
      </w:r>
    </w:p>
    <w:p>
      <w:pPr>
        <w:numPr>
          <w:ilvl w:val="0"/>
          <w:numId w:val="3"/>
        </w:numPr>
        <w:adjustRightInd w:val="0"/>
        <w:snapToGrid w:val="0"/>
        <w:textAlignment w:val="bottom"/>
        <w:rPr>
          <w:szCs w:val="21"/>
        </w:rPr>
      </w:pPr>
      <w:r>
        <w:rPr>
          <w:rFonts w:hint="eastAsia"/>
          <w:szCs w:val="21"/>
        </w:rPr>
        <w:t>GB 50052-2009 《供配电系统设计规范》</w:t>
      </w:r>
    </w:p>
    <w:p>
      <w:pPr>
        <w:numPr>
          <w:ilvl w:val="0"/>
          <w:numId w:val="3"/>
        </w:numPr>
        <w:adjustRightInd w:val="0"/>
        <w:snapToGrid w:val="0"/>
        <w:textAlignment w:val="bottom"/>
        <w:rPr>
          <w:szCs w:val="21"/>
        </w:rPr>
      </w:pPr>
      <w:r>
        <w:rPr>
          <w:rFonts w:hint="eastAsia"/>
          <w:szCs w:val="21"/>
        </w:rPr>
        <w:t>GB 50325-2010 《民用建筑工程室内环境污染控制规范》</w:t>
      </w:r>
    </w:p>
    <w:p>
      <w:pPr>
        <w:numPr>
          <w:ilvl w:val="0"/>
          <w:numId w:val="3"/>
        </w:numPr>
        <w:adjustRightInd w:val="0"/>
        <w:snapToGrid w:val="0"/>
        <w:textAlignment w:val="bottom"/>
        <w:rPr>
          <w:szCs w:val="21"/>
        </w:rPr>
      </w:pPr>
      <w:r>
        <w:rPr>
          <w:rFonts w:hint="eastAsia"/>
          <w:szCs w:val="21"/>
        </w:rPr>
        <w:t>GB 50057-2010 《建筑物防雷设计规范》</w:t>
      </w:r>
    </w:p>
    <w:p>
      <w:pPr>
        <w:numPr>
          <w:ilvl w:val="0"/>
          <w:numId w:val="3"/>
        </w:numPr>
        <w:adjustRightInd w:val="0"/>
        <w:snapToGrid w:val="0"/>
        <w:textAlignment w:val="bottom"/>
        <w:rPr>
          <w:szCs w:val="21"/>
        </w:rPr>
      </w:pPr>
      <w:r>
        <w:rPr>
          <w:rFonts w:hint="eastAsia"/>
          <w:szCs w:val="21"/>
        </w:rPr>
        <w:t>GB 50054-2011 《低压配电设计规范》</w:t>
      </w:r>
    </w:p>
    <w:p>
      <w:pPr>
        <w:numPr>
          <w:ilvl w:val="0"/>
          <w:numId w:val="3"/>
        </w:numPr>
        <w:adjustRightInd w:val="0"/>
        <w:snapToGrid w:val="0"/>
        <w:textAlignment w:val="bottom"/>
        <w:rPr>
          <w:szCs w:val="21"/>
        </w:rPr>
      </w:pPr>
      <w:r>
        <w:rPr>
          <w:rFonts w:hint="eastAsia"/>
          <w:szCs w:val="21"/>
        </w:rPr>
        <w:t>GB 50055-2011 《通用用电设备配电设计规范》</w:t>
      </w:r>
    </w:p>
    <w:p>
      <w:pPr>
        <w:numPr>
          <w:ilvl w:val="0"/>
          <w:numId w:val="3"/>
        </w:numPr>
        <w:adjustRightInd w:val="0"/>
        <w:snapToGrid w:val="0"/>
        <w:textAlignment w:val="bottom"/>
        <w:rPr>
          <w:szCs w:val="21"/>
        </w:rPr>
      </w:pPr>
      <w:r>
        <w:rPr>
          <w:rFonts w:hint="eastAsia"/>
          <w:szCs w:val="21"/>
        </w:rPr>
        <w:t>GB 50311-2016 《综合布线系统工程设计规范》</w:t>
      </w:r>
    </w:p>
    <w:p>
      <w:pPr>
        <w:numPr>
          <w:ilvl w:val="0"/>
          <w:numId w:val="3"/>
        </w:numPr>
        <w:adjustRightInd w:val="0"/>
        <w:snapToGrid w:val="0"/>
        <w:textAlignment w:val="bottom"/>
        <w:rPr>
          <w:szCs w:val="21"/>
        </w:rPr>
      </w:pPr>
      <w:r>
        <w:rPr>
          <w:rFonts w:hint="eastAsia"/>
          <w:szCs w:val="21"/>
        </w:rPr>
        <w:t>GB/T 4863-1985 《机械制造工艺基本术语》</w:t>
      </w:r>
    </w:p>
    <w:p>
      <w:pPr>
        <w:numPr>
          <w:ilvl w:val="0"/>
          <w:numId w:val="3"/>
        </w:numPr>
        <w:adjustRightInd w:val="0"/>
        <w:snapToGrid w:val="0"/>
        <w:textAlignment w:val="bottom"/>
        <w:rPr>
          <w:szCs w:val="21"/>
        </w:rPr>
      </w:pPr>
      <w:r>
        <w:rPr>
          <w:rFonts w:hint="eastAsia"/>
          <w:szCs w:val="21"/>
        </w:rPr>
        <w:t>GB/T 18268-2000 《测量、控制和实验室用的电设备电磁兼容性要求》</w:t>
      </w:r>
    </w:p>
    <w:p>
      <w:pPr>
        <w:numPr>
          <w:ilvl w:val="0"/>
          <w:numId w:val="3"/>
        </w:numPr>
        <w:adjustRightInd w:val="0"/>
        <w:snapToGrid w:val="0"/>
        <w:textAlignment w:val="bottom"/>
        <w:rPr>
          <w:szCs w:val="21"/>
        </w:rPr>
      </w:pPr>
      <w:r>
        <w:rPr>
          <w:rFonts w:hint="eastAsia"/>
          <w:szCs w:val="21"/>
        </w:rPr>
        <w:t>GB/T 18883-2002 《室内空气质量标准》</w:t>
      </w:r>
    </w:p>
    <w:p>
      <w:pPr>
        <w:numPr>
          <w:ilvl w:val="0"/>
          <w:numId w:val="3"/>
        </w:numPr>
        <w:adjustRightInd w:val="0"/>
        <w:snapToGrid w:val="0"/>
        <w:textAlignment w:val="bottom"/>
        <w:rPr>
          <w:szCs w:val="21"/>
        </w:rPr>
      </w:pPr>
      <w:r>
        <w:rPr>
          <w:rFonts w:hint="eastAsia"/>
          <w:szCs w:val="21"/>
        </w:rPr>
        <w:t>GB/T 4728.1-2005 《电气简图用图形符号》</w:t>
      </w:r>
    </w:p>
    <w:p>
      <w:pPr>
        <w:numPr>
          <w:ilvl w:val="0"/>
          <w:numId w:val="3"/>
        </w:numPr>
        <w:adjustRightInd w:val="0"/>
        <w:snapToGrid w:val="0"/>
        <w:textAlignment w:val="bottom"/>
        <w:rPr>
          <w:szCs w:val="21"/>
        </w:rPr>
      </w:pPr>
      <w:r>
        <w:rPr>
          <w:rFonts w:hint="eastAsia"/>
          <w:szCs w:val="21"/>
        </w:rPr>
        <w:t>GB/T 20272-2006 《信息安全技术 操纵系统安全技术要求标准》</w:t>
      </w:r>
    </w:p>
    <w:p>
      <w:pPr>
        <w:numPr>
          <w:ilvl w:val="0"/>
          <w:numId w:val="3"/>
        </w:numPr>
        <w:adjustRightInd w:val="0"/>
        <w:snapToGrid w:val="0"/>
        <w:textAlignment w:val="bottom"/>
        <w:rPr>
          <w:szCs w:val="21"/>
        </w:rPr>
      </w:pPr>
      <w:r>
        <w:rPr>
          <w:rFonts w:hint="eastAsia"/>
          <w:szCs w:val="21"/>
        </w:rPr>
        <w:t>GB/T 20273-2006 《信息安全技术 数据库管理系统安全技术要求》</w:t>
      </w:r>
    </w:p>
    <w:p>
      <w:pPr>
        <w:numPr>
          <w:ilvl w:val="0"/>
          <w:numId w:val="3"/>
        </w:numPr>
        <w:adjustRightInd w:val="0"/>
        <w:snapToGrid w:val="0"/>
        <w:textAlignment w:val="bottom"/>
        <w:rPr>
          <w:szCs w:val="21"/>
        </w:rPr>
      </w:pPr>
      <w:r>
        <w:rPr>
          <w:rFonts w:hint="eastAsia"/>
          <w:szCs w:val="21"/>
        </w:rPr>
        <w:t>GB/T 21028-2007 《信息安全技术 服务器安全技术要求》</w:t>
      </w:r>
    </w:p>
    <w:p>
      <w:pPr>
        <w:numPr>
          <w:ilvl w:val="0"/>
          <w:numId w:val="3"/>
        </w:numPr>
        <w:adjustRightInd w:val="0"/>
        <w:snapToGrid w:val="0"/>
        <w:textAlignment w:val="bottom"/>
        <w:rPr>
          <w:szCs w:val="21"/>
        </w:rPr>
      </w:pPr>
      <w:r>
        <w:rPr>
          <w:rFonts w:hint="eastAsia"/>
          <w:szCs w:val="21"/>
        </w:rPr>
        <w:t>GB/T 3956-2008 《电缆的导体》</w:t>
      </w:r>
    </w:p>
    <w:p>
      <w:pPr>
        <w:numPr>
          <w:ilvl w:val="0"/>
          <w:numId w:val="3"/>
        </w:numPr>
        <w:adjustRightInd w:val="0"/>
        <w:snapToGrid w:val="0"/>
        <w:textAlignment w:val="bottom"/>
        <w:rPr>
          <w:szCs w:val="21"/>
        </w:rPr>
      </w:pPr>
      <w:r>
        <w:rPr>
          <w:rFonts w:hint="eastAsia"/>
          <w:szCs w:val="21"/>
        </w:rPr>
        <w:t>GB/T 19582.1-2008 《基于Modbus 协议的工业自动化网络规范》</w:t>
      </w:r>
    </w:p>
    <w:p>
      <w:pPr>
        <w:numPr>
          <w:ilvl w:val="0"/>
          <w:numId w:val="3"/>
        </w:numPr>
        <w:adjustRightInd w:val="0"/>
        <w:snapToGrid w:val="0"/>
        <w:textAlignment w:val="bottom"/>
        <w:rPr>
          <w:szCs w:val="21"/>
        </w:rPr>
      </w:pPr>
      <w:r>
        <w:rPr>
          <w:rFonts w:hint="eastAsia"/>
          <w:szCs w:val="21"/>
        </w:rPr>
        <w:t>GB/T 7424-2008 《光缆总规范》</w:t>
      </w:r>
    </w:p>
    <w:p>
      <w:pPr>
        <w:numPr>
          <w:ilvl w:val="0"/>
          <w:numId w:val="3"/>
        </w:numPr>
        <w:adjustRightInd w:val="0"/>
        <w:snapToGrid w:val="0"/>
        <w:textAlignment w:val="bottom"/>
        <w:rPr>
          <w:szCs w:val="21"/>
        </w:rPr>
      </w:pPr>
      <w:r>
        <w:rPr>
          <w:rFonts w:hint="eastAsia"/>
          <w:szCs w:val="21"/>
        </w:rPr>
        <w:t>GB/T 20275-2013 《信息安全技术 网络入侵检测系统技术要求和测试评价方法》</w:t>
      </w:r>
    </w:p>
    <w:p>
      <w:pPr>
        <w:numPr>
          <w:ilvl w:val="0"/>
          <w:numId w:val="3"/>
        </w:numPr>
        <w:adjustRightInd w:val="0"/>
        <w:snapToGrid w:val="0"/>
        <w:textAlignment w:val="bottom"/>
        <w:rPr>
          <w:szCs w:val="21"/>
        </w:rPr>
      </w:pPr>
      <w:r>
        <w:rPr>
          <w:rFonts w:hint="eastAsia"/>
          <w:szCs w:val="21"/>
        </w:rPr>
        <w:t>GB/T 32146.2-2015 《检验检测实验室设计与建设技术要求》</w:t>
      </w:r>
    </w:p>
    <w:p>
      <w:pPr>
        <w:numPr>
          <w:ilvl w:val="0"/>
          <w:numId w:val="3"/>
        </w:numPr>
        <w:adjustRightInd w:val="0"/>
        <w:snapToGrid w:val="0"/>
        <w:textAlignment w:val="bottom"/>
        <w:rPr>
          <w:szCs w:val="21"/>
        </w:rPr>
      </w:pPr>
      <w:r>
        <w:rPr>
          <w:rFonts w:hint="eastAsia"/>
          <w:szCs w:val="21"/>
        </w:rPr>
        <w:t>GB/T 4365-2016 《电工术语 电磁兼容》</w:t>
      </w:r>
    </w:p>
    <w:p>
      <w:pPr>
        <w:numPr>
          <w:ilvl w:val="0"/>
          <w:numId w:val="3"/>
        </w:numPr>
        <w:adjustRightInd w:val="0"/>
        <w:snapToGrid w:val="0"/>
        <w:textAlignment w:val="bottom"/>
        <w:rPr>
          <w:szCs w:val="21"/>
        </w:rPr>
      </w:pPr>
      <w:r>
        <w:rPr>
          <w:rFonts w:hint="eastAsia"/>
          <w:szCs w:val="21"/>
        </w:rPr>
        <w:t>GB/T 18015.1-2017 《数字通信用对绞或星绞多芯对称电缆》</w:t>
      </w:r>
    </w:p>
    <w:p>
      <w:pPr>
        <w:numPr>
          <w:ilvl w:val="0"/>
          <w:numId w:val="3"/>
        </w:numPr>
        <w:adjustRightInd w:val="0"/>
        <w:snapToGrid w:val="0"/>
        <w:textAlignment w:val="bottom"/>
        <w:rPr>
          <w:szCs w:val="21"/>
        </w:rPr>
      </w:pPr>
      <w:r>
        <w:rPr>
          <w:rFonts w:hint="eastAsia"/>
          <w:szCs w:val="21"/>
        </w:rPr>
        <w:t>GJB 1442-1992 《检验工作要求》</w:t>
      </w:r>
    </w:p>
    <w:p>
      <w:pPr>
        <w:numPr>
          <w:ilvl w:val="0"/>
          <w:numId w:val="3"/>
        </w:numPr>
        <w:adjustRightInd w:val="0"/>
        <w:snapToGrid w:val="0"/>
        <w:textAlignment w:val="bottom"/>
        <w:rPr>
          <w:szCs w:val="21"/>
        </w:rPr>
      </w:pPr>
      <w:r>
        <w:rPr>
          <w:rFonts w:hint="eastAsia"/>
          <w:szCs w:val="21"/>
        </w:rPr>
        <w:t>GJB 2547-1995 《装配测试性大纲》</w:t>
      </w:r>
    </w:p>
    <w:p>
      <w:pPr>
        <w:numPr>
          <w:ilvl w:val="0"/>
          <w:numId w:val="3"/>
        </w:numPr>
        <w:adjustRightInd w:val="0"/>
        <w:snapToGrid w:val="0"/>
        <w:textAlignment w:val="bottom"/>
        <w:rPr>
          <w:szCs w:val="21"/>
        </w:rPr>
      </w:pPr>
      <w:r>
        <w:rPr>
          <w:rFonts w:hint="eastAsia"/>
          <w:szCs w:val="21"/>
        </w:rPr>
        <w:t>GJB/Z 299B-1998 《电子设备可靠性预计手册》</w:t>
      </w:r>
    </w:p>
    <w:p>
      <w:pPr>
        <w:numPr>
          <w:ilvl w:val="0"/>
          <w:numId w:val="3"/>
        </w:numPr>
        <w:adjustRightInd w:val="0"/>
        <w:snapToGrid w:val="0"/>
        <w:textAlignment w:val="bottom"/>
        <w:rPr>
          <w:szCs w:val="21"/>
        </w:rPr>
      </w:pPr>
      <w:r>
        <w:rPr>
          <w:rFonts w:hint="eastAsia"/>
          <w:szCs w:val="21"/>
        </w:rPr>
        <w:t>GJB/Z 9000A-2001 《质量管理体系标准》</w:t>
      </w:r>
    </w:p>
    <w:p>
      <w:pPr>
        <w:numPr>
          <w:ilvl w:val="0"/>
          <w:numId w:val="3"/>
        </w:numPr>
        <w:adjustRightInd w:val="0"/>
        <w:snapToGrid w:val="0"/>
        <w:textAlignment w:val="bottom"/>
        <w:rPr>
          <w:szCs w:val="21"/>
        </w:rPr>
      </w:pPr>
      <w:r>
        <w:rPr>
          <w:rFonts w:hint="eastAsia"/>
          <w:szCs w:val="21"/>
        </w:rPr>
        <w:t>HG/T 20505-2000 《过程测量和控制仪表的功能标志及图形符号》</w:t>
      </w:r>
    </w:p>
    <w:p>
      <w:pPr>
        <w:numPr>
          <w:ilvl w:val="0"/>
          <w:numId w:val="3"/>
        </w:numPr>
        <w:adjustRightInd w:val="0"/>
        <w:snapToGrid w:val="0"/>
        <w:textAlignment w:val="bottom"/>
        <w:rPr>
          <w:szCs w:val="21"/>
        </w:rPr>
      </w:pPr>
      <w:r>
        <w:rPr>
          <w:rFonts w:hint="eastAsia"/>
          <w:szCs w:val="21"/>
        </w:rPr>
        <w:t>HG/T 20508-2000 《控制室设计规定》</w:t>
      </w:r>
    </w:p>
    <w:p>
      <w:pPr>
        <w:numPr>
          <w:ilvl w:val="0"/>
          <w:numId w:val="3"/>
        </w:numPr>
        <w:adjustRightInd w:val="0"/>
        <w:snapToGrid w:val="0"/>
        <w:textAlignment w:val="bottom"/>
        <w:rPr>
          <w:szCs w:val="21"/>
        </w:rPr>
      </w:pPr>
      <w:r>
        <w:rPr>
          <w:rFonts w:hint="eastAsia"/>
          <w:szCs w:val="21"/>
        </w:rPr>
        <w:t>HG/T 20509-2000 《仪表供电设计规定》</w:t>
      </w:r>
    </w:p>
    <w:p>
      <w:pPr>
        <w:numPr>
          <w:ilvl w:val="0"/>
          <w:numId w:val="3"/>
        </w:numPr>
        <w:adjustRightInd w:val="0"/>
        <w:snapToGrid w:val="0"/>
        <w:textAlignment w:val="bottom"/>
        <w:rPr>
          <w:szCs w:val="21"/>
        </w:rPr>
      </w:pPr>
      <w:r>
        <w:rPr>
          <w:rFonts w:hint="eastAsia"/>
          <w:szCs w:val="21"/>
        </w:rPr>
        <w:t>HG/T 20510-2000 《仪表供气设计规定》</w:t>
      </w:r>
    </w:p>
    <w:p>
      <w:pPr>
        <w:numPr>
          <w:ilvl w:val="0"/>
          <w:numId w:val="3"/>
        </w:numPr>
        <w:adjustRightInd w:val="0"/>
        <w:snapToGrid w:val="0"/>
        <w:textAlignment w:val="bottom"/>
        <w:rPr>
          <w:szCs w:val="21"/>
        </w:rPr>
      </w:pPr>
      <w:r>
        <w:rPr>
          <w:rFonts w:hint="eastAsia"/>
          <w:szCs w:val="21"/>
        </w:rPr>
        <w:t>HG/T 20511-2000 《信号报警、安全联锁系统设计规定》</w:t>
      </w:r>
    </w:p>
    <w:p>
      <w:pPr>
        <w:numPr>
          <w:ilvl w:val="0"/>
          <w:numId w:val="3"/>
        </w:numPr>
        <w:adjustRightInd w:val="0"/>
        <w:snapToGrid w:val="0"/>
        <w:textAlignment w:val="bottom"/>
        <w:rPr>
          <w:szCs w:val="21"/>
        </w:rPr>
      </w:pPr>
      <w:r>
        <w:rPr>
          <w:rFonts w:hint="eastAsia"/>
          <w:szCs w:val="21"/>
        </w:rPr>
        <w:t>HG/T 20512-2000 《仪表配管、配线设计规定》</w:t>
      </w:r>
    </w:p>
    <w:p>
      <w:pPr>
        <w:numPr>
          <w:ilvl w:val="0"/>
          <w:numId w:val="3"/>
        </w:numPr>
        <w:adjustRightInd w:val="0"/>
        <w:snapToGrid w:val="0"/>
        <w:textAlignment w:val="bottom"/>
        <w:rPr>
          <w:szCs w:val="21"/>
        </w:rPr>
      </w:pPr>
      <w:r>
        <w:rPr>
          <w:rFonts w:hint="eastAsia"/>
          <w:szCs w:val="21"/>
        </w:rPr>
        <w:t>HG/T 20513-2000 《仪表系统接地设计规定》</w:t>
      </w:r>
    </w:p>
    <w:p>
      <w:pPr>
        <w:numPr>
          <w:ilvl w:val="0"/>
          <w:numId w:val="3"/>
        </w:numPr>
        <w:adjustRightInd w:val="0"/>
        <w:snapToGrid w:val="0"/>
        <w:textAlignment w:val="bottom"/>
        <w:rPr>
          <w:szCs w:val="21"/>
        </w:rPr>
      </w:pPr>
      <w:r>
        <w:rPr>
          <w:rFonts w:hint="eastAsia"/>
          <w:szCs w:val="21"/>
        </w:rPr>
        <w:t>HG/T 20516-2000 《自动分析器室设计规定》</w:t>
      </w:r>
    </w:p>
    <w:p>
      <w:pPr>
        <w:numPr>
          <w:ilvl w:val="0"/>
          <w:numId w:val="3"/>
        </w:numPr>
        <w:adjustRightInd w:val="0"/>
        <w:snapToGrid w:val="0"/>
        <w:textAlignment w:val="bottom"/>
        <w:rPr>
          <w:szCs w:val="21"/>
        </w:rPr>
      </w:pPr>
      <w:r>
        <w:rPr>
          <w:rFonts w:hint="eastAsia"/>
          <w:szCs w:val="21"/>
        </w:rPr>
        <w:t>HG/T 20699-2000 《自控设计常用名词术语》</w:t>
      </w:r>
    </w:p>
    <w:p>
      <w:pPr>
        <w:numPr>
          <w:ilvl w:val="0"/>
          <w:numId w:val="3"/>
        </w:numPr>
        <w:adjustRightInd w:val="0"/>
        <w:snapToGrid w:val="0"/>
        <w:textAlignment w:val="bottom"/>
        <w:rPr>
          <w:szCs w:val="21"/>
        </w:rPr>
      </w:pPr>
      <w:r>
        <w:rPr>
          <w:rFonts w:hint="eastAsia"/>
          <w:szCs w:val="21"/>
        </w:rPr>
        <w:t>JGJ 91-93 《科学实验室建筑设计规范》</w:t>
      </w:r>
    </w:p>
    <w:p>
      <w:pPr>
        <w:numPr>
          <w:ilvl w:val="0"/>
          <w:numId w:val="3"/>
        </w:numPr>
        <w:adjustRightInd w:val="0"/>
        <w:snapToGrid w:val="0"/>
        <w:textAlignment w:val="bottom"/>
        <w:rPr>
          <w:szCs w:val="21"/>
        </w:rPr>
      </w:pPr>
      <w:r>
        <w:rPr>
          <w:rFonts w:hint="eastAsia"/>
          <w:szCs w:val="21"/>
        </w:rPr>
        <w:t>JGJ/T 334-2017 《建筑设备监控系统工程技术规范》</w:t>
      </w:r>
    </w:p>
    <w:p>
      <w:pPr>
        <w:numPr>
          <w:ilvl w:val="0"/>
          <w:numId w:val="3"/>
        </w:numPr>
        <w:adjustRightInd w:val="0"/>
        <w:snapToGrid w:val="0"/>
        <w:textAlignment w:val="bottom"/>
        <w:rPr>
          <w:szCs w:val="21"/>
        </w:rPr>
      </w:pPr>
      <w:r>
        <w:rPr>
          <w:rFonts w:hint="eastAsia"/>
          <w:szCs w:val="21"/>
        </w:rPr>
        <w:t>IEC TR 61000-4-3 《辐射（射频）电磁场抗扰度试验》</w:t>
      </w:r>
    </w:p>
    <w:p>
      <w:pPr>
        <w:numPr>
          <w:ilvl w:val="0"/>
          <w:numId w:val="3"/>
        </w:numPr>
        <w:adjustRightInd w:val="0"/>
        <w:snapToGrid w:val="0"/>
        <w:textAlignment w:val="bottom"/>
        <w:rPr>
          <w:szCs w:val="21"/>
        </w:rPr>
      </w:pPr>
      <w:r>
        <w:rPr>
          <w:rFonts w:hint="eastAsia"/>
          <w:szCs w:val="21"/>
        </w:rPr>
        <w:t>IEC TR 61000-4-4 《电快速瞬变/脉冲群抗扰度试验》</w:t>
      </w:r>
    </w:p>
    <w:p>
      <w:pPr>
        <w:numPr>
          <w:ilvl w:val="0"/>
          <w:numId w:val="3"/>
        </w:numPr>
        <w:adjustRightInd w:val="0"/>
        <w:snapToGrid w:val="0"/>
        <w:textAlignment w:val="bottom"/>
        <w:rPr>
          <w:szCs w:val="21"/>
        </w:rPr>
      </w:pPr>
      <w:r>
        <w:rPr>
          <w:rFonts w:hint="eastAsia"/>
          <w:szCs w:val="21"/>
        </w:rPr>
        <w:t>IEC TR 61000-4-5 《浪涌（冲击）抗扰度试验》</w:t>
      </w:r>
    </w:p>
    <w:p>
      <w:pPr>
        <w:numPr>
          <w:ilvl w:val="0"/>
          <w:numId w:val="3"/>
        </w:numPr>
        <w:adjustRightInd w:val="0"/>
        <w:snapToGrid w:val="0"/>
        <w:textAlignment w:val="bottom"/>
        <w:rPr>
          <w:szCs w:val="21"/>
        </w:rPr>
      </w:pPr>
      <w:r>
        <w:rPr>
          <w:rFonts w:hint="eastAsia"/>
          <w:szCs w:val="21"/>
        </w:rPr>
        <w:t>IEC TR 61000-4-6 《对射频场感应的传导骚扰抗扰度试验》</w:t>
      </w:r>
    </w:p>
    <w:p>
      <w:pPr>
        <w:numPr>
          <w:ilvl w:val="0"/>
          <w:numId w:val="3"/>
        </w:numPr>
        <w:adjustRightInd w:val="0"/>
        <w:snapToGrid w:val="0"/>
        <w:textAlignment w:val="bottom"/>
        <w:rPr>
          <w:szCs w:val="21"/>
        </w:rPr>
      </w:pPr>
      <w:r>
        <w:rPr>
          <w:rFonts w:hint="eastAsia"/>
          <w:szCs w:val="21"/>
        </w:rPr>
        <w:t>IEC TR 61000-4-7 《供电系统及所连设备谐波和谐间波的测量和测量仪表通用指南》</w:t>
      </w:r>
    </w:p>
    <w:p>
      <w:pPr>
        <w:numPr>
          <w:ilvl w:val="0"/>
          <w:numId w:val="3"/>
        </w:numPr>
        <w:adjustRightInd w:val="0"/>
        <w:snapToGrid w:val="0"/>
        <w:textAlignment w:val="bottom"/>
        <w:rPr>
          <w:szCs w:val="21"/>
        </w:rPr>
      </w:pPr>
      <w:r>
        <w:rPr>
          <w:rFonts w:hint="eastAsia"/>
          <w:szCs w:val="21"/>
        </w:rPr>
        <w:t>IEC TR 61000-4-8 《工频抗扰度试验》</w:t>
      </w:r>
    </w:p>
    <w:p>
      <w:pPr>
        <w:numPr>
          <w:ilvl w:val="0"/>
          <w:numId w:val="3"/>
        </w:numPr>
        <w:adjustRightInd w:val="0"/>
        <w:snapToGrid w:val="0"/>
        <w:textAlignment w:val="bottom"/>
        <w:rPr>
          <w:szCs w:val="21"/>
        </w:rPr>
      </w:pPr>
      <w:r>
        <w:rPr>
          <w:rFonts w:hint="eastAsia"/>
          <w:szCs w:val="21"/>
        </w:rPr>
        <w:t>IEC TR 61000-4-9 《脉冲磁场抗扰度试验》</w:t>
      </w:r>
    </w:p>
    <w:p>
      <w:pPr>
        <w:numPr>
          <w:ilvl w:val="0"/>
          <w:numId w:val="3"/>
        </w:numPr>
        <w:adjustRightInd w:val="0"/>
        <w:snapToGrid w:val="0"/>
        <w:textAlignment w:val="bottom"/>
        <w:rPr>
          <w:szCs w:val="21"/>
        </w:rPr>
      </w:pPr>
      <w:r>
        <w:rPr>
          <w:rFonts w:hint="eastAsia"/>
          <w:szCs w:val="21"/>
        </w:rPr>
        <w:t>IEC TR 61000-4-11 《电压暂降、短期中断和电压变化抗扰度试验》</w:t>
      </w:r>
    </w:p>
    <w:p>
      <w:pPr>
        <w:numPr>
          <w:ilvl w:val="0"/>
          <w:numId w:val="3"/>
        </w:numPr>
        <w:adjustRightInd w:val="0"/>
        <w:snapToGrid w:val="0"/>
        <w:textAlignment w:val="bottom"/>
        <w:rPr>
          <w:szCs w:val="21"/>
        </w:rPr>
      </w:pPr>
      <w:r>
        <w:rPr>
          <w:rFonts w:hint="eastAsia"/>
          <w:szCs w:val="21"/>
        </w:rPr>
        <w:t>IEC TR 61000-4-12 《振荡波抗扰度试验》</w:t>
      </w:r>
    </w:p>
    <w:p>
      <w:pPr>
        <w:numPr>
          <w:ilvl w:val="0"/>
          <w:numId w:val="3"/>
        </w:numPr>
        <w:adjustRightInd w:val="0"/>
        <w:snapToGrid w:val="0"/>
        <w:textAlignment w:val="bottom"/>
        <w:rPr>
          <w:szCs w:val="21"/>
        </w:rPr>
      </w:pPr>
      <w:r>
        <w:rPr>
          <w:rFonts w:hint="eastAsia"/>
          <w:szCs w:val="21"/>
        </w:rPr>
        <w:t>IEC TR 61000-4-16 《传导共模骚扰抗扰度试验方法》</w:t>
      </w:r>
    </w:p>
    <w:p>
      <w:pPr>
        <w:numPr>
          <w:ilvl w:val="0"/>
          <w:numId w:val="3"/>
        </w:numPr>
        <w:adjustRightInd w:val="0"/>
        <w:snapToGrid w:val="0"/>
        <w:textAlignment w:val="bottom"/>
        <w:rPr>
          <w:szCs w:val="21"/>
        </w:rPr>
      </w:pPr>
      <w:r>
        <w:rPr>
          <w:szCs w:val="21"/>
        </w:rPr>
        <w:t>IEEE Std 802.3TM-2008</w:t>
      </w:r>
      <w:r>
        <w:rPr>
          <w:rFonts w:hint="eastAsia"/>
          <w:szCs w:val="21"/>
        </w:rPr>
        <w:t xml:space="preserve"> </w:t>
      </w:r>
      <w:r>
        <w:rPr>
          <w:szCs w:val="21"/>
        </w:rPr>
        <w:t>IEEE Standard for Information technology-Telecommunications and</w:t>
      </w:r>
      <w:r>
        <w:rPr>
          <w:rFonts w:hint="eastAsia"/>
          <w:szCs w:val="21"/>
        </w:rPr>
        <w:t xml:space="preserve"> </w:t>
      </w:r>
      <w:r>
        <w:rPr>
          <w:szCs w:val="21"/>
        </w:rPr>
        <w:t>information exchange between systems-Local and metropolitan area</w:t>
      </w:r>
      <w:r>
        <w:rPr>
          <w:rFonts w:hint="eastAsia"/>
          <w:szCs w:val="21"/>
        </w:rPr>
        <w:t xml:space="preserve"> </w:t>
      </w:r>
      <w:r>
        <w:rPr>
          <w:szCs w:val="21"/>
        </w:rPr>
        <w:t>networks-Specific requirements</w:t>
      </w:r>
    </w:p>
    <w:p>
      <w:pPr>
        <w:numPr>
          <w:ilvl w:val="0"/>
          <w:numId w:val="3"/>
        </w:numPr>
        <w:adjustRightInd w:val="0"/>
        <w:snapToGrid w:val="0"/>
        <w:textAlignment w:val="bottom"/>
        <w:rPr>
          <w:szCs w:val="21"/>
        </w:rPr>
      </w:pPr>
      <w:r>
        <w:rPr>
          <w:rFonts w:hint="eastAsia"/>
          <w:szCs w:val="21"/>
        </w:rPr>
        <w:t>GB3538-83《运输包装件保部件的标示方法》</w:t>
      </w:r>
    </w:p>
    <w:p>
      <w:pPr>
        <w:numPr>
          <w:ilvl w:val="0"/>
          <w:numId w:val="3"/>
        </w:numPr>
        <w:adjustRightInd w:val="0"/>
        <w:snapToGrid w:val="0"/>
        <w:textAlignment w:val="bottom"/>
        <w:rPr>
          <w:szCs w:val="21"/>
        </w:rPr>
      </w:pPr>
      <w:r>
        <w:rPr>
          <w:rFonts w:hint="eastAsia"/>
          <w:szCs w:val="21"/>
        </w:rPr>
        <w:t>GB191-73《包装储运指示标志》</w:t>
      </w:r>
    </w:p>
    <w:p>
      <w:pPr>
        <w:numPr>
          <w:ilvl w:val="0"/>
          <w:numId w:val="3"/>
        </w:numPr>
        <w:adjustRightInd w:val="0"/>
        <w:snapToGrid w:val="0"/>
        <w:textAlignment w:val="bottom"/>
        <w:rPr>
          <w:szCs w:val="21"/>
        </w:rPr>
      </w:pPr>
      <w:r>
        <w:rPr>
          <w:szCs w:val="21"/>
        </w:rPr>
        <w:t>GB/T 4879-1985</w:t>
      </w:r>
      <w:r>
        <w:rPr>
          <w:rFonts w:hint="eastAsia"/>
          <w:szCs w:val="21"/>
        </w:rPr>
        <w:t>《</w:t>
      </w:r>
      <w:r>
        <w:rPr>
          <w:szCs w:val="21"/>
        </w:rPr>
        <w:t>防锈包装标准</w:t>
      </w:r>
      <w:r>
        <w:rPr>
          <w:rFonts w:hint="eastAsia"/>
          <w:szCs w:val="21"/>
        </w:rPr>
        <w:t>》</w:t>
      </w:r>
    </w:p>
    <w:p>
      <w:pPr>
        <w:numPr>
          <w:ilvl w:val="0"/>
          <w:numId w:val="3"/>
        </w:numPr>
        <w:adjustRightInd w:val="0"/>
        <w:snapToGrid w:val="0"/>
        <w:textAlignment w:val="bottom"/>
        <w:rPr>
          <w:szCs w:val="21"/>
        </w:rPr>
      </w:pPr>
      <w:r>
        <w:rPr>
          <w:rFonts w:hint="eastAsia"/>
          <w:szCs w:val="21"/>
        </w:rPr>
        <w:t>GB/T13384-92《机电产品包装通技术条件》</w:t>
      </w:r>
    </w:p>
    <w:p>
      <w:pPr>
        <w:numPr>
          <w:ilvl w:val="0"/>
          <w:numId w:val="2"/>
        </w:numPr>
        <w:jc w:val="left"/>
        <w:rPr>
          <w:b/>
          <w:szCs w:val="21"/>
        </w:rPr>
      </w:pPr>
      <w:r>
        <w:rPr>
          <w:b/>
          <w:szCs w:val="21"/>
        </w:rPr>
        <w:t>定制非标设备的实施计划</w:t>
      </w:r>
    </w:p>
    <w:p>
      <w:pPr>
        <w:ind w:firstLine="420" w:firstLineChars="200"/>
        <w:jc w:val="left"/>
        <w:rPr>
          <w:szCs w:val="21"/>
        </w:rPr>
      </w:pPr>
      <w:r>
        <w:rPr>
          <w:szCs w:val="21"/>
        </w:rPr>
        <w:t>本项目分为详细设计阶段、加工制造阶段和现场安装调试及验收阶段。除非双方另有规定，按以下执行：</w:t>
      </w:r>
    </w:p>
    <w:p>
      <w:pPr>
        <w:ind w:firstLine="420" w:firstLineChars="200"/>
        <w:rPr>
          <w:szCs w:val="21"/>
        </w:rPr>
      </w:pPr>
      <w:r>
        <w:rPr>
          <w:szCs w:val="21"/>
        </w:rPr>
        <w:t>4.1乙方在合同签订后30个工作日内，应撰写并提交该合同要求的生产设计、材料采购、加工制造、出厂测试、包装运输及安装就位等全过程的加工检测计划和生产进度计划，即完成项目《质量计划》和《实施方案》的编制，并由乙方组织有甲方参加的评审，评审需经甲方认可通过。未得到甲方批准之前，不得开始工作。《质量计划》和《实施方案》参考模板由甲方提供，甲方从质量计划中选择若干干预节点。加工检测计划应该至少包括以下几项：</w:t>
      </w:r>
    </w:p>
    <w:p>
      <w:pPr>
        <w:ind w:firstLine="420" w:firstLineChars="200"/>
        <w:jc w:val="left"/>
        <w:rPr>
          <w:szCs w:val="21"/>
        </w:rPr>
      </w:pPr>
      <w:r>
        <w:rPr>
          <w:szCs w:val="21"/>
        </w:rPr>
        <w:t>1）加工/测试行为应提供结果列表；</w:t>
      </w:r>
    </w:p>
    <w:p>
      <w:pPr>
        <w:ind w:firstLine="420" w:firstLineChars="200"/>
        <w:jc w:val="left"/>
        <w:rPr>
          <w:szCs w:val="21"/>
        </w:rPr>
      </w:pPr>
      <w:r>
        <w:rPr>
          <w:szCs w:val="21"/>
        </w:rPr>
        <w:t>2）制造开始、制造过程中、制造结束时的所有检查、检验、测试操作；</w:t>
      </w:r>
    </w:p>
    <w:p>
      <w:pPr>
        <w:ind w:firstLine="420" w:firstLineChars="200"/>
        <w:jc w:val="left"/>
        <w:rPr>
          <w:szCs w:val="21"/>
        </w:rPr>
      </w:pPr>
      <w:r>
        <w:rPr>
          <w:szCs w:val="21"/>
        </w:rPr>
        <w:t>3）所有需提供的文档及提交时间；</w:t>
      </w:r>
    </w:p>
    <w:p>
      <w:pPr>
        <w:ind w:firstLine="420" w:firstLineChars="200"/>
        <w:jc w:val="left"/>
        <w:rPr>
          <w:szCs w:val="21"/>
        </w:rPr>
      </w:pPr>
      <w:r>
        <w:rPr>
          <w:szCs w:val="21"/>
        </w:rPr>
        <w:t>4）关键部件/工艺完成过程中需有甲方参与；</w:t>
      </w:r>
    </w:p>
    <w:p>
      <w:pPr>
        <w:ind w:firstLine="420" w:firstLineChars="200"/>
        <w:jc w:val="left"/>
        <w:rPr>
          <w:szCs w:val="21"/>
        </w:rPr>
      </w:pPr>
      <w:r>
        <w:rPr>
          <w:szCs w:val="21"/>
        </w:rPr>
        <w:t>5）检查、检验、测试操作相关文档记录。</w:t>
      </w:r>
    </w:p>
    <w:p>
      <w:pPr>
        <w:ind w:firstLine="420" w:firstLineChars="200"/>
        <w:rPr>
          <w:szCs w:val="21"/>
        </w:rPr>
      </w:pPr>
      <w:r>
        <w:rPr>
          <w:szCs w:val="21"/>
        </w:rPr>
        <w:t>4.2合同签订之后，按照合同要求，乙方应270天完成编制详细设计，120天完成研制生产前所有文档并提交（</w:t>
      </w:r>
      <w:r>
        <w:rPr>
          <w:rFonts w:hint="eastAsia"/>
          <w:szCs w:val="21"/>
        </w:rPr>
        <w:t>乙方可根据实际研制工作难度和详细设计评审情况与加方沟通进行调整</w:t>
      </w:r>
      <w:r>
        <w:rPr>
          <w:szCs w:val="21"/>
        </w:rPr>
        <w:t>）。其中</w:t>
      </w:r>
      <w:r>
        <w:rPr>
          <w:rFonts w:hint="eastAsia"/>
          <w:szCs w:val="21"/>
        </w:rPr>
        <w:t>，在正常维护保养前提下，</w:t>
      </w:r>
      <w:r>
        <w:rPr>
          <w:szCs w:val="21"/>
        </w:rPr>
        <w:t>设备主体不可更换部分的材料选型、制造工艺应能保证设备可靠运行至少30年。详细设计方案编制完成后，需同时提交《详细设计报告》、《关键、重要件特性分析报告》、《验收大纲和验收细则》、《安装调试大纲》、《工程设计图纸》、《零部件明细表》等相关文件（见前文文档类要求），经甲方认可通过后，方可进入加工制造阶段。《工程设计报告》、《关键、重要件特性分析报告》、《验收大纲》、《安装调试大纲》、《制造技术条件报告》、《经济性分析报告》的参考模板由甲方提供，乙方根据实际项目内容可对模板做部分修改完成所有报告。</w:t>
      </w:r>
    </w:p>
    <w:p>
      <w:pPr>
        <w:ind w:firstLine="420" w:firstLineChars="200"/>
        <w:rPr>
          <w:szCs w:val="21"/>
        </w:rPr>
      </w:pPr>
      <w:r>
        <w:rPr>
          <w:szCs w:val="21"/>
        </w:rPr>
        <w:t>4.3 在加工制造前，乙方应撰写并提交《工艺文件》、《安装调试大纲》，乙方组织进行有甲方参加的工艺评审，工艺设计评审需经甲方认可通过后，方可进入下一阶段。</w:t>
      </w:r>
    </w:p>
    <w:p>
      <w:pPr>
        <w:ind w:firstLine="420" w:firstLineChars="200"/>
        <w:rPr>
          <w:szCs w:val="21"/>
        </w:rPr>
      </w:pPr>
      <w:r>
        <w:rPr>
          <w:szCs w:val="21"/>
        </w:rPr>
        <w:t>4.4 在加工制造过程中</w:t>
      </w:r>
      <w:r>
        <w:rPr>
          <w:rFonts w:hint="eastAsia"/>
          <w:szCs w:val="21"/>
        </w:rPr>
        <w:t>，</w:t>
      </w:r>
      <w:r>
        <w:rPr>
          <w:szCs w:val="21"/>
        </w:rPr>
        <w:t>严格执行设计图纸，并按照《实施方案》和《质量计划》的要求对质量控制点进行严格控制，即按照H/W/R点要求，严格控制全过程生产实施，并加以记录；若有涉及或者计划等变更，需及时向甲方提出变更申请，待甲方审核通过后方可施行。</w:t>
      </w:r>
      <w:r>
        <w:rPr>
          <w:rFonts w:hint="eastAsia"/>
          <w:szCs w:val="21"/>
        </w:rPr>
        <w:t>其中</w:t>
      </w:r>
      <w:r>
        <w:rPr>
          <w:szCs w:val="21"/>
        </w:rPr>
        <w:t>，H/W/R点</w:t>
      </w:r>
      <w:r>
        <w:rPr>
          <w:rFonts w:hint="eastAsia"/>
          <w:szCs w:val="21"/>
        </w:rPr>
        <w:t>遵循甲方指挥部的验收管理相关要求，由甲方组织相关评审会议、乙方负责实施。</w:t>
      </w:r>
    </w:p>
    <w:p>
      <w:pPr>
        <w:ind w:firstLine="420" w:firstLineChars="200"/>
        <w:rPr>
          <w:szCs w:val="21"/>
        </w:rPr>
      </w:pPr>
      <w:r>
        <w:rPr>
          <w:szCs w:val="21"/>
        </w:rPr>
        <w:t>4.5 在加工制造过程中，关键设备采购前，采购产品型号、性能指标需经过甲方评审批准后，方可进行采购和加工。</w:t>
      </w:r>
    </w:p>
    <w:p>
      <w:pPr>
        <w:ind w:firstLine="420" w:firstLineChars="200"/>
        <w:rPr>
          <w:szCs w:val="21"/>
        </w:rPr>
      </w:pPr>
      <w:r>
        <w:rPr>
          <w:szCs w:val="21"/>
        </w:rPr>
        <w:t>4.6 在生产制造过程中，乙方需提供材料测试报告，包括化学、机械和电学特性，并提供相应材料的使用位置。《关键、重要件特性分析报告》中列出的关键材料在使用前需要提交至甲方审核批准。</w:t>
      </w:r>
    </w:p>
    <w:p>
      <w:pPr>
        <w:ind w:firstLine="420" w:firstLineChars="200"/>
        <w:rPr>
          <w:szCs w:val="21"/>
        </w:rPr>
      </w:pPr>
      <w:r>
        <w:rPr>
          <w:szCs w:val="21"/>
        </w:rPr>
        <w:t>4.7</w:t>
      </w:r>
      <w:r>
        <w:rPr>
          <w:szCs w:val="21"/>
        </w:rPr>
        <w:tab/>
      </w:r>
      <w:r>
        <w:rPr>
          <w:szCs w:val="21"/>
        </w:rPr>
        <w:t>在项目实施阶段，应做好中间过程记录，形成《中间过程控制记录》，在验收时一并提交。</w:t>
      </w:r>
    </w:p>
    <w:p>
      <w:pPr>
        <w:ind w:firstLine="420" w:firstLineChars="200"/>
        <w:rPr>
          <w:szCs w:val="21"/>
        </w:rPr>
      </w:pPr>
      <w:r>
        <w:rPr>
          <w:szCs w:val="21"/>
        </w:rPr>
        <w:t>4.8 当遇到《质量计划》中表明的干预节点时，应提前至少5天通知甲方的代表。随着工作的进展，应在《中间过程控制记录》中标记相关的操作和干预节点。</w:t>
      </w:r>
    </w:p>
    <w:p>
      <w:pPr>
        <w:ind w:firstLine="420" w:firstLineChars="200"/>
        <w:rPr>
          <w:szCs w:val="21"/>
        </w:rPr>
      </w:pPr>
      <w:r>
        <w:rPr>
          <w:szCs w:val="21"/>
        </w:rPr>
        <w:t>4.9 在合同实施过程中，乙方应对设备或者服务出现的偏差和不符合项进行记录和报告，在需要时发布偏差请求、不符合项报告给甲方，经批准继续使用或者采用其他替代方案的设备或服务后，方可使用偏差的设备和服务。乙方应避免采用暂时的解决方法应对偏差和不符合项，而应对偏差和不符合项，而应该对偏差和不符合项进行分析，确认根本原因并采用适当有效的纠正措施。</w:t>
      </w:r>
    </w:p>
    <w:p>
      <w:pPr>
        <w:numPr>
          <w:ilvl w:val="0"/>
          <w:numId w:val="2"/>
        </w:numPr>
        <w:jc w:val="left"/>
        <w:rPr>
          <w:b/>
          <w:szCs w:val="21"/>
        </w:rPr>
      </w:pPr>
      <w:r>
        <w:rPr>
          <w:b/>
          <w:szCs w:val="21"/>
        </w:rPr>
        <w:t>非标定制设备出厂书面文件等要求</w:t>
      </w:r>
    </w:p>
    <w:p>
      <w:pPr>
        <w:ind w:firstLine="420" w:firstLineChars="200"/>
        <w:rPr>
          <w:szCs w:val="21"/>
        </w:rPr>
      </w:pPr>
      <w:r>
        <w:rPr>
          <w:szCs w:val="21"/>
        </w:rPr>
        <w:t>乙方应该提供的内容包括但不限于如下所列材料：</w:t>
      </w:r>
    </w:p>
    <w:p>
      <w:pPr>
        <w:adjustRightInd w:val="0"/>
        <w:snapToGrid w:val="0"/>
        <w:ind w:firstLine="420" w:firstLineChars="200"/>
        <w:rPr>
          <w:szCs w:val="21"/>
        </w:rPr>
      </w:pPr>
      <w:r>
        <w:rPr>
          <w:szCs w:val="21"/>
        </w:rPr>
        <w:t>1）出厂检测报告；</w:t>
      </w:r>
    </w:p>
    <w:p>
      <w:pPr>
        <w:adjustRightInd w:val="0"/>
        <w:snapToGrid w:val="0"/>
        <w:ind w:firstLine="420" w:firstLineChars="200"/>
        <w:rPr>
          <w:szCs w:val="21"/>
        </w:rPr>
      </w:pPr>
      <w:r>
        <w:rPr>
          <w:szCs w:val="21"/>
        </w:rPr>
        <w:t>2）合格证；</w:t>
      </w:r>
    </w:p>
    <w:p>
      <w:pPr>
        <w:adjustRightInd w:val="0"/>
        <w:snapToGrid w:val="0"/>
        <w:ind w:firstLine="420"/>
        <w:jc w:val="left"/>
        <w:rPr>
          <w:szCs w:val="21"/>
        </w:rPr>
      </w:pPr>
      <w:r>
        <w:rPr>
          <w:szCs w:val="21"/>
        </w:rPr>
        <w:t>3）使用说明书；</w:t>
      </w:r>
    </w:p>
    <w:p>
      <w:pPr>
        <w:adjustRightInd w:val="0"/>
        <w:snapToGrid w:val="0"/>
        <w:ind w:firstLine="420"/>
        <w:jc w:val="left"/>
        <w:rPr>
          <w:szCs w:val="21"/>
        </w:rPr>
      </w:pPr>
      <w:r>
        <w:rPr>
          <w:szCs w:val="21"/>
        </w:rPr>
        <w:t>4）维护手册；</w:t>
      </w:r>
    </w:p>
    <w:p>
      <w:pPr>
        <w:adjustRightInd w:val="0"/>
        <w:snapToGrid w:val="0"/>
        <w:ind w:firstLine="420"/>
        <w:jc w:val="left"/>
        <w:rPr>
          <w:szCs w:val="21"/>
        </w:rPr>
      </w:pPr>
      <w:r>
        <w:rPr>
          <w:szCs w:val="21"/>
        </w:rPr>
        <w:t>5）《产品履历书》。</w:t>
      </w:r>
    </w:p>
    <w:p>
      <w:pPr>
        <w:numPr>
          <w:ilvl w:val="0"/>
          <w:numId w:val="2"/>
        </w:numPr>
        <w:jc w:val="left"/>
        <w:rPr>
          <w:b/>
          <w:szCs w:val="21"/>
        </w:rPr>
      </w:pPr>
      <w:r>
        <w:rPr>
          <w:b/>
          <w:szCs w:val="21"/>
        </w:rPr>
        <w:t>非标定制设备的运输、现场安装调试、验收要求</w:t>
      </w:r>
    </w:p>
    <w:p>
      <w:pPr>
        <w:ind w:firstLine="420" w:firstLineChars="200"/>
        <w:rPr>
          <w:kern w:val="0"/>
          <w:szCs w:val="21"/>
        </w:rPr>
      </w:pPr>
      <w:r>
        <w:rPr>
          <w:kern w:val="0"/>
          <w:szCs w:val="21"/>
        </w:rPr>
        <w:t>现场安装调试及验收阶段前需依据《安装调试大纲》编制《现场安装及调试实施方案》组织运输及现场安装、调试，按照《验收大纲》验收</w:t>
      </w:r>
      <w:r>
        <w:rPr>
          <w:szCs w:val="21"/>
        </w:rPr>
        <w:t>。</w:t>
      </w:r>
    </w:p>
    <w:p>
      <w:pPr>
        <w:ind w:firstLine="422" w:firstLineChars="200"/>
        <w:rPr>
          <w:b/>
          <w:kern w:val="0"/>
          <w:szCs w:val="21"/>
        </w:rPr>
      </w:pPr>
      <w:r>
        <w:rPr>
          <w:b/>
          <w:kern w:val="0"/>
          <w:szCs w:val="21"/>
        </w:rPr>
        <w:t>6.1包装运输</w:t>
      </w:r>
    </w:p>
    <w:p>
      <w:pPr>
        <w:ind w:firstLine="422" w:firstLineChars="200"/>
        <w:rPr>
          <w:b/>
          <w:kern w:val="0"/>
          <w:szCs w:val="21"/>
        </w:rPr>
      </w:pPr>
      <w:r>
        <w:rPr>
          <w:b/>
          <w:kern w:val="0"/>
          <w:szCs w:val="21"/>
        </w:rPr>
        <w:t>6.1.1包装要求</w:t>
      </w:r>
    </w:p>
    <w:p>
      <w:pPr>
        <w:ind w:firstLine="420" w:firstLineChars="200"/>
        <w:rPr>
          <w:kern w:val="0"/>
          <w:szCs w:val="21"/>
        </w:rPr>
      </w:pPr>
      <w:r>
        <w:rPr>
          <w:kern w:val="0"/>
          <w:szCs w:val="21"/>
        </w:rPr>
        <w:t>1）乙方须根据运输对象的特点制定相应的包装方案，不同对象应采用不同的包装方法；</w:t>
      </w:r>
    </w:p>
    <w:p>
      <w:pPr>
        <w:ind w:firstLine="420" w:firstLineChars="200"/>
        <w:rPr>
          <w:kern w:val="0"/>
          <w:szCs w:val="21"/>
        </w:rPr>
      </w:pPr>
      <w:r>
        <w:rPr>
          <w:kern w:val="0"/>
          <w:szCs w:val="21"/>
        </w:rPr>
        <w:t>2）精密仪器设备的包装必须做到防震、防潮、防摔、防磕碰；</w:t>
      </w:r>
    </w:p>
    <w:p>
      <w:pPr>
        <w:ind w:firstLine="420" w:firstLineChars="200"/>
        <w:rPr>
          <w:kern w:val="0"/>
          <w:szCs w:val="21"/>
        </w:rPr>
      </w:pPr>
      <w:r>
        <w:rPr>
          <w:kern w:val="0"/>
          <w:szCs w:val="21"/>
        </w:rPr>
        <w:t>3）乙方严格按装箱单规定的内容进行装箱，做到名称、规格、数量三者完全一致；</w:t>
      </w:r>
    </w:p>
    <w:p>
      <w:pPr>
        <w:ind w:firstLine="420" w:firstLineChars="200"/>
        <w:rPr>
          <w:kern w:val="0"/>
          <w:szCs w:val="21"/>
        </w:rPr>
      </w:pPr>
      <w:r>
        <w:rPr>
          <w:kern w:val="0"/>
          <w:szCs w:val="21"/>
        </w:rPr>
        <w:t>4）装箱前应严格检验各项物品确保为合格产品，并清除污垢和杂物做好防护措施，设备配套文件随件装箱；</w:t>
      </w:r>
    </w:p>
    <w:p>
      <w:pPr>
        <w:ind w:firstLine="420" w:firstLineChars="200"/>
        <w:rPr>
          <w:kern w:val="0"/>
          <w:szCs w:val="21"/>
        </w:rPr>
      </w:pPr>
      <w:r>
        <w:rPr>
          <w:kern w:val="0"/>
          <w:szCs w:val="21"/>
        </w:rPr>
        <w:t>5）在包装箱上四个侧面的两个较大面上分别标记向上、怕湿、禁止翻转、和吊装位置等符号，应清晰、可长期保持。并清晰注明收货地址、收货人和发货地址、合同号、重量、包装箱的承重点等；</w:t>
      </w:r>
    </w:p>
    <w:p>
      <w:pPr>
        <w:ind w:firstLine="420" w:firstLineChars="200"/>
        <w:rPr>
          <w:kern w:val="0"/>
          <w:szCs w:val="21"/>
        </w:rPr>
      </w:pPr>
      <w:r>
        <w:rPr>
          <w:kern w:val="0"/>
          <w:szCs w:val="21"/>
        </w:rPr>
        <w:t>6）包装应牢固、可靠，必须适应所采用的运输方式的要求。</w:t>
      </w:r>
    </w:p>
    <w:p>
      <w:pPr>
        <w:ind w:firstLine="422" w:firstLineChars="200"/>
        <w:rPr>
          <w:b/>
          <w:kern w:val="0"/>
          <w:szCs w:val="21"/>
        </w:rPr>
      </w:pPr>
      <w:r>
        <w:rPr>
          <w:b/>
          <w:kern w:val="0"/>
          <w:szCs w:val="21"/>
        </w:rPr>
        <w:t>6.1.2 运输要求</w:t>
      </w:r>
    </w:p>
    <w:p>
      <w:pPr>
        <w:ind w:firstLine="420" w:firstLineChars="200"/>
        <w:rPr>
          <w:kern w:val="0"/>
          <w:szCs w:val="21"/>
        </w:rPr>
      </w:pPr>
      <w:r>
        <w:rPr>
          <w:kern w:val="0"/>
          <w:szCs w:val="21"/>
        </w:rPr>
        <w:t>1）运输地点：中国，哈尔滨项目实施地；</w:t>
      </w:r>
    </w:p>
    <w:p>
      <w:pPr>
        <w:ind w:firstLine="420" w:firstLineChars="200"/>
        <w:rPr>
          <w:kern w:val="0"/>
          <w:szCs w:val="21"/>
        </w:rPr>
      </w:pPr>
      <w:r>
        <w:rPr>
          <w:kern w:val="0"/>
          <w:szCs w:val="21"/>
        </w:rPr>
        <w:t>3）乙方对运输过程可能出现的问题提出安全规划，确保标的物安全抵达</w:t>
      </w:r>
      <w:r>
        <w:rPr>
          <w:rFonts w:hint="eastAsia"/>
          <w:kern w:val="0"/>
          <w:szCs w:val="21"/>
        </w:rPr>
        <w:t>甲方</w:t>
      </w:r>
      <w:r>
        <w:rPr>
          <w:kern w:val="0"/>
          <w:szCs w:val="21"/>
        </w:rPr>
        <w:t>指定地点；</w:t>
      </w:r>
    </w:p>
    <w:p>
      <w:pPr>
        <w:ind w:firstLine="420" w:firstLineChars="200"/>
        <w:rPr>
          <w:szCs w:val="21"/>
        </w:rPr>
      </w:pPr>
      <w:r>
        <w:rPr>
          <w:kern w:val="0"/>
          <w:szCs w:val="21"/>
        </w:rPr>
        <w:t>4）因运输及装载、卸货过程中造成的一切损失由乙方承担。</w:t>
      </w:r>
    </w:p>
    <w:p>
      <w:pPr>
        <w:ind w:firstLine="422" w:firstLineChars="200"/>
        <w:rPr>
          <w:b/>
          <w:szCs w:val="21"/>
        </w:rPr>
      </w:pPr>
      <w:r>
        <w:rPr>
          <w:b/>
          <w:szCs w:val="21"/>
        </w:rPr>
        <w:t>6.2 现场安装及调试</w:t>
      </w:r>
    </w:p>
    <w:p>
      <w:pPr>
        <w:ind w:firstLine="420" w:firstLineChars="200"/>
        <w:rPr>
          <w:szCs w:val="21"/>
        </w:rPr>
      </w:pPr>
      <w:r>
        <w:rPr>
          <w:rFonts w:hint="eastAsia"/>
          <w:szCs w:val="21"/>
        </w:rPr>
        <w:t>数据采集与控制子系统的</w:t>
      </w:r>
      <w:r>
        <w:rPr>
          <w:szCs w:val="21"/>
        </w:rPr>
        <w:t>主要安装调试要求如下：</w:t>
      </w:r>
    </w:p>
    <w:p>
      <w:pPr>
        <w:tabs>
          <w:tab w:val="left" w:pos="635"/>
        </w:tabs>
        <w:autoSpaceDE w:val="0"/>
        <w:autoSpaceDN w:val="0"/>
        <w:ind w:firstLine="420" w:firstLineChars="200"/>
        <w:outlineLvl w:val="6"/>
        <w:rPr>
          <w:kern w:val="0"/>
          <w:szCs w:val="21"/>
        </w:rPr>
      </w:pPr>
      <w:r>
        <w:rPr>
          <w:kern w:val="0"/>
          <w:szCs w:val="21"/>
        </w:rPr>
        <w:t>1）按要求完成</w:t>
      </w:r>
      <w:r>
        <w:rPr>
          <w:rFonts w:hint="eastAsia"/>
          <w:kern w:val="0"/>
          <w:szCs w:val="21"/>
        </w:rPr>
        <w:t>数据采集与控制子</w:t>
      </w:r>
      <w:r>
        <w:rPr>
          <w:kern w:val="0"/>
          <w:szCs w:val="21"/>
        </w:rPr>
        <w:t>系统的现场调试，满足</w:t>
      </w:r>
      <w:r>
        <w:rPr>
          <w:rFonts w:hint="eastAsia"/>
          <w:kern w:val="0"/>
          <w:szCs w:val="21"/>
        </w:rPr>
        <w:t>各项</w:t>
      </w:r>
      <w:r>
        <w:rPr>
          <w:kern w:val="0"/>
          <w:szCs w:val="21"/>
        </w:rPr>
        <w:t>技术指标要求。</w:t>
      </w:r>
    </w:p>
    <w:p>
      <w:pPr>
        <w:ind w:firstLine="420" w:firstLineChars="200"/>
        <w:rPr>
          <w:szCs w:val="21"/>
        </w:rPr>
      </w:pPr>
      <w:r>
        <w:rPr>
          <w:szCs w:val="21"/>
        </w:rPr>
        <w:t>2）乙方全面负责设备的安装调试。安装由乙方派技术人员到甲方现场进行设备安装调试，并对设备开箱、吊装、管线接口匹配的正确性负全部责任。乙方应自备安装调试所需的检测及其它专用工具。甲方应提供安装所需的其它辅助设备和功能，如安装调试现场及所需的电、气及辅料等。</w:t>
      </w:r>
    </w:p>
    <w:p>
      <w:pPr>
        <w:ind w:firstLine="420" w:firstLineChars="200"/>
        <w:rPr>
          <w:szCs w:val="21"/>
        </w:rPr>
      </w:pPr>
      <w:r>
        <w:rPr>
          <w:szCs w:val="21"/>
        </w:rPr>
        <w:t>3）甲方建立和提供安装调试所需的实验室环境条件、在设备附近提供动力电接口和冷却水路、压缩空气等接口。</w:t>
      </w:r>
    </w:p>
    <w:p>
      <w:pPr>
        <w:ind w:firstLine="420" w:firstLineChars="200"/>
        <w:rPr>
          <w:szCs w:val="21"/>
        </w:rPr>
      </w:pPr>
      <w:r>
        <w:rPr>
          <w:szCs w:val="21"/>
        </w:rPr>
        <w:t>4）乙方应根据实验室现场条件，针对制定合理的安装调试实施流程。</w:t>
      </w:r>
    </w:p>
    <w:p>
      <w:pPr>
        <w:tabs>
          <w:tab w:val="left" w:pos="635"/>
        </w:tabs>
        <w:autoSpaceDE w:val="0"/>
        <w:autoSpaceDN w:val="0"/>
        <w:ind w:firstLine="422" w:firstLineChars="200"/>
        <w:outlineLvl w:val="6"/>
        <w:rPr>
          <w:b/>
          <w:kern w:val="0"/>
          <w:szCs w:val="21"/>
        </w:rPr>
      </w:pPr>
      <w:r>
        <w:rPr>
          <w:b/>
          <w:kern w:val="0"/>
          <w:szCs w:val="21"/>
        </w:rPr>
        <w:t>6.3 设备的验收规范与验收方式</w:t>
      </w:r>
    </w:p>
    <w:p>
      <w:pPr>
        <w:ind w:firstLine="420" w:firstLineChars="200"/>
        <w:rPr>
          <w:szCs w:val="21"/>
        </w:rPr>
      </w:pPr>
      <w:r>
        <w:rPr>
          <w:szCs w:val="21"/>
        </w:rPr>
        <w:t>按照《验收大纲》进行验收。系统的验收分为部件验收、随装置文件验收与指标验收，在完成上述验收后甲乙双方填写验收报告。（</w:t>
      </w:r>
      <w:r>
        <w:rPr>
          <w:rFonts w:hint="eastAsia"/>
          <w:szCs w:val="21"/>
        </w:rPr>
        <w:t>分设检测点，进行验收，分批付款</w:t>
      </w:r>
      <w:r>
        <w:rPr>
          <w:szCs w:val="21"/>
        </w:rPr>
        <w:t>）</w:t>
      </w:r>
    </w:p>
    <w:p>
      <w:pPr>
        <w:ind w:firstLine="420" w:firstLineChars="200"/>
        <w:rPr>
          <w:szCs w:val="21"/>
        </w:rPr>
      </w:pPr>
      <w:r>
        <w:rPr>
          <w:szCs w:val="21"/>
        </w:rPr>
        <w:t>（1）部件验收及随装置文件验收包括对设备中的所有部件进行清点验收，并验收清点相关文件，填写相应验收表格；</w:t>
      </w:r>
    </w:p>
    <w:p>
      <w:pPr>
        <w:ind w:firstLine="420" w:firstLineChars="200"/>
        <w:rPr>
          <w:szCs w:val="21"/>
        </w:rPr>
      </w:pPr>
      <w:r>
        <w:rPr>
          <w:szCs w:val="21"/>
        </w:rPr>
        <w:t>（2）指标验收包括对设备各单元子项硬件、软件的指标验收以及总体技术指标的验收。</w:t>
      </w:r>
    </w:p>
    <w:p>
      <w:pPr>
        <w:ind w:firstLine="420" w:firstLineChars="200"/>
        <w:rPr>
          <w:szCs w:val="21"/>
        </w:rPr>
      </w:pPr>
      <w:r>
        <w:rPr>
          <w:szCs w:val="21"/>
        </w:rPr>
        <w:t>（3）总体的验收方式及要求以</w:t>
      </w:r>
      <w:r>
        <w:rPr>
          <w:rFonts w:hint="eastAsia"/>
          <w:szCs w:val="21"/>
        </w:rPr>
        <w:t>数据采集与控制子系统</w:t>
      </w:r>
      <w:r>
        <w:rPr>
          <w:szCs w:val="21"/>
        </w:rPr>
        <w:t>设计指标和设计图纸为依据进行验收。在实施过程中应针对不同特点，制定详细的重要单元子项的验收方式及要求。</w:t>
      </w:r>
    </w:p>
    <w:p>
      <w:pPr>
        <w:ind w:firstLine="422" w:firstLineChars="200"/>
        <w:rPr>
          <w:b/>
          <w:szCs w:val="21"/>
        </w:rPr>
      </w:pPr>
      <w:r>
        <w:rPr>
          <w:b/>
          <w:szCs w:val="21"/>
        </w:rPr>
        <w:t>6.3.1设备预验收</w:t>
      </w:r>
    </w:p>
    <w:p>
      <w:pPr>
        <w:ind w:firstLine="420" w:firstLineChars="200"/>
        <w:rPr>
          <w:szCs w:val="21"/>
        </w:rPr>
      </w:pPr>
      <w:r>
        <w:rPr>
          <w:szCs w:val="21"/>
        </w:rPr>
        <w:t>设备预验收在</w:t>
      </w:r>
      <w:r>
        <w:rPr>
          <w:rFonts w:hint="eastAsia"/>
          <w:szCs w:val="21"/>
        </w:rPr>
        <w:t>甲</w:t>
      </w:r>
      <w:r>
        <w:rPr>
          <w:szCs w:val="21"/>
        </w:rPr>
        <w:t>方</w:t>
      </w:r>
      <w:r>
        <w:rPr>
          <w:rFonts w:hint="eastAsia"/>
          <w:szCs w:val="21"/>
        </w:rPr>
        <w:t>实验装置</w:t>
      </w:r>
      <w:r>
        <w:rPr>
          <w:szCs w:val="21"/>
        </w:rPr>
        <w:t>所在地进行，主要对以下几方面进行验收和检查：</w:t>
      </w:r>
    </w:p>
    <w:p>
      <w:pPr>
        <w:ind w:firstLine="420" w:firstLineChars="200"/>
        <w:rPr>
          <w:szCs w:val="21"/>
        </w:rPr>
      </w:pPr>
      <w:r>
        <w:rPr>
          <w:szCs w:val="21"/>
        </w:rPr>
        <w:t>（1）按中国国家相关标准和企业出厂标准、合同要求对设备的机械、电气装置及软件模块进行验收，按中国国家标准对环保、劳动安全进行验收，设备乙方应提供设备在装配调试阶段的检测结果，并提供相应的检测工具名称及检测手段。</w:t>
      </w:r>
    </w:p>
    <w:p>
      <w:pPr>
        <w:ind w:firstLine="420" w:firstLineChars="200"/>
        <w:rPr>
          <w:szCs w:val="21"/>
        </w:rPr>
      </w:pPr>
      <w:r>
        <w:rPr>
          <w:szCs w:val="21"/>
        </w:rPr>
        <w:t>（2）设备功能、指标能力验收，应包含对设备技术要求所列条目的测试和检验。</w:t>
      </w:r>
    </w:p>
    <w:p>
      <w:pPr>
        <w:ind w:firstLine="420" w:firstLineChars="200"/>
        <w:rPr>
          <w:szCs w:val="21"/>
        </w:rPr>
      </w:pPr>
      <w:r>
        <w:rPr>
          <w:szCs w:val="21"/>
        </w:rPr>
        <w:t>（3）资料验收。应检查并确认按合同规定所应提供的资料是否齐全，资料应包括设备的预验收结论。</w:t>
      </w:r>
    </w:p>
    <w:p>
      <w:pPr>
        <w:ind w:firstLine="420" w:firstLineChars="200"/>
        <w:rPr>
          <w:szCs w:val="21"/>
        </w:rPr>
      </w:pPr>
      <w:r>
        <w:rPr>
          <w:szCs w:val="21"/>
        </w:rPr>
        <w:t>（4）以上工作由乙方与甲方一起进行，并应对甲方人员进行</w:t>
      </w:r>
      <w:r>
        <w:rPr>
          <w:rFonts w:hint="eastAsia"/>
          <w:szCs w:val="21"/>
        </w:rPr>
        <w:t>相关</w:t>
      </w:r>
      <w:r>
        <w:rPr>
          <w:szCs w:val="21"/>
        </w:rPr>
        <w:t>操作培训及维护培训。</w:t>
      </w:r>
    </w:p>
    <w:p>
      <w:pPr>
        <w:ind w:firstLine="420" w:firstLineChars="200"/>
        <w:rPr>
          <w:szCs w:val="21"/>
        </w:rPr>
      </w:pPr>
      <w:r>
        <w:rPr>
          <w:szCs w:val="21"/>
        </w:rPr>
        <w:t>（5）设备预验收合格后，乙方须对设备进行彻底的清洁</w:t>
      </w:r>
      <w:r>
        <w:rPr>
          <w:rFonts w:hint="eastAsia"/>
          <w:szCs w:val="21"/>
        </w:rPr>
        <w:t>后，</w:t>
      </w:r>
      <w:r>
        <w:rPr>
          <w:szCs w:val="21"/>
        </w:rPr>
        <w:t>才能将设备及全套合法资料</w:t>
      </w:r>
      <w:r>
        <w:rPr>
          <w:rFonts w:hint="eastAsia"/>
          <w:szCs w:val="21"/>
        </w:rPr>
        <w:t>提交给甲方发</w:t>
      </w:r>
      <w:r>
        <w:rPr>
          <w:szCs w:val="21"/>
        </w:rPr>
        <w:t>。</w:t>
      </w:r>
    </w:p>
    <w:p>
      <w:pPr>
        <w:ind w:firstLine="422" w:firstLineChars="200"/>
        <w:rPr>
          <w:b/>
          <w:szCs w:val="21"/>
        </w:rPr>
      </w:pPr>
      <w:r>
        <w:rPr>
          <w:b/>
          <w:szCs w:val="21"/>
        </w:rPr>
        <w:t>6.3.2设备最终验收</w:t>
      </w:r>
    </w:p>
    <w:p>
      <w:pPr>
        <w:ind w:firstLine="420" w:firstLineChars="200"/>
        <w:rPr>
          <w:szCs w:val="21"/>
        </w:rPr>
      </w:pPr>
      <w:r>
        <w:rPr>
          <w:szCs w:val="21"/>
        </w:rPr>
        <w:t>（1）乙方负责设备安装调试并编写结论报告。甲方负责组织设备最终验收。</w:t>
      </w:r>
    </w:p>
    <w:p>
      <w:pPr>
        <w:ind w:firstLine="420" w:firstLineChars="200"/>
        <w:rPr>
          <w:szCs w:val="21"/>
        </w:rPr>
      </w:pPr>
      <w:r>
        <w:rPr>
          <w:szCs w:val="21"/>
        </w:rPr>
        <w:t>（2）检查验证对预验收遗留问题及改进之处是否按照预验收纪要的要求予以解决和改进。</w:t>
      </w:r>
    </w:p>
    <w:p>
      <w:pPr>
        <w:ind w:firstLine="420" w:firstLineChars="200"/>
        <w:rPr>
          <w:szCs w:val="21"/>
        </w:rPr>
      </w:pPr>
      <w:r>
        <w:rPr>
          <w:szCs w:val="21"/>
        </w:rPr>
        <w:t>（3）检查设备的配置和资料文件与合同约定的符合性。</w:t>
      </w:r>
    </w:p>
    <w:p>
      <w:pPr>
        <w:ind w:firstLine="420" w:firstLineChars="200"/>
        <w:rPr>
          <w:szCs w:val="21"/>
        </w:rPr>
      </w:pPr>
      <w:r>
        <w:rPr>
          <w:szCs w:val="21"/>
        </w:rPr>
        <w:t>（4）验收方法及规定设备技术要求所列条目进行设备功能、工艺指标及工序能力等进行验收。</w:t>
      </w:r>
    </w:p>
    <w:p>
      <w:pPr>
        <w:ind w:firstLine="420" w:firstLineChars="200"/>
        <w:rPr>
          <w:szCs w:val="21"/>
        </w:rPr>
      </w:pPr>
      <w:r>
        <w:rPr>
          <w:szCs w:val="21"/>
        </w:rPr>
        <w:t>（5）若按照中国法律或双方约定，需要具有法定资质的第三方中介机构进行验收，由甲方负责邀请中介机构，</w:t>
      </w:r>
      <w:r>
        <w:rPr>
          <w:rFonts w:hint="eastAsia"/>
          <w:szCs w:val="21"/>
        </w:rPr>
        <w:t>乙方</w:t>
      </w:r>
      <w:r>
        <w:rPr>
          <w:szCs w:val="21"/>
        </w:rPr>
        <w:t>负责相关费用。若乙方对第三方中介机构的验收结论存有疑问，乙方可以提出请更高一级具有法定资质的中介机构进行复验，若所得结论仍不完全合格，产生的费用由乙方承担；若所得结论为全部合格，则产生费用由甲方承担。</w:t>
      </w:r>
    </w:p>
    <w:p>
      <w:pPr>
        <w:ind w:firstLine="420" w:firstLineChars="200"/>
        <w:rPr>
          <w:szCs w:val="21"/>
        </w:rPr>
      </w:pPr>
      <w:r>
        <w:rPr>
          <w:szCs w:val="21"/>
        </w:rPr>
        <w:t>（6）乙方负责对甲方指定人员进行培训，培训内容包括</w:t>
      </w:r>
      <w:r>
        <w:rPr>
          <w:rFonts w:hint="eastAsia"/>
          <w:szCs w:val="21"/>
        </w:rPr>
        <w:t>相关各</w:t>
      </w:r>
      <w:r>
        <w:rPr>
          <w:szCs w:val="21"/>
        </w:rPr>
        <w:t>设备原理</w:t>
      </w:r>
      <w:r>
        <w:rPr>
          <w:rFonts w:hint="eastAsia"/>
          <w:szCs w:val="21"/>
        </w:rPr>
        <w:t>与</w:t>
      </w:r>
      <w:r>
        <w:rPr>
          <w:szCs w:val="21"/>
        </w:rPr>
        <w:t>结构介绍、各功能模块介绍、基本故障诊断排查、易损部件更换、程序设置、工艺操作等内容进行培训。确保甲方的有关操作人员能独立、熟练、正确操作使用、维护设备，有关的维修人员能独立排除设备的常见故障。</w:t>
      </w:r>
    </w:p>
    <w:p>
      <w:pPr>
        <w:ind w:firstLine="420" w:firstLineChars="200"/>
        <w:rPr>
          <w:szCs w:val="21"/>
        </w:rPr>
      </w:pPr>
      <w:r>
        <w:rPr>
          <w:szCs w:val="21"/>
        </w:rPr>
        <w:t>（7）设备正式验收合格后，乙方正式</w:t>
      </w:r>
      <w:r>
        <w:rPr>
          <w:rFonts w:hint="eastAsia"/>
          <w:szCs w:val="21"/>
        </w:rPr>
        <w:t>将</w:t>
      </w:r>
      <w:r>
        <w:rPr>
          <w:szCs w:val="21"/>
        </w:rPr>
        <w:t>设备交付</w:t>
      </w:r>
      <w:r>
        <w:rPr>
          <w:rFonts w:hint="eastAsia"/>
          <w:szCs w:val="21"/>
        </w:rPr>
        <w:t>甲方</w:t>
      </w:r>
      <w:r>
        <w:rPr>
          <w:szCs w:val="21"/>
        </w:rPr>
        <w:t>，开始计算保修期。</w:t>
      </w:r>
    </w:p>
    <w:p>
      <w:pPr>
        <w:ind w:firstLine="420" w:firstLineChars="200"/>
        <w:rPr>
          <w:szCs w:val="21"/>
        </w:rPr>
      </w:pPr>
    </w:p>
    <w:p>
      <w:pPr>
        <w:numPr>
          <w:ilvl w:val="0"/>
          <w:numId w:val="2"/>
        </w:numPr>
        <w:jc w:val="left"/>
        <w:rPr>
          <w:b/>
          <w:szCs w:val="21"/>
        </w:rPr>
      </w:pPr>
      <w:r>
        <w:rPr>
          <w:b/>
          <w:szCs w:val="21"/>
        </w:rPr>
        <w:t>非标定制设备的售后服务</w:t>
      </w:r>
    </w:p>
    <w:p>
      <w:pPr>
        <w:ind w:firstLine="420" w:firstLineChars="200"/>
        <w:rPr>
          <w:szCs w:val="21"/>
        </w:rPr>
      </w:pPr>
      <w:r>
        <w:rPr>
          <w:szCs w:val="21"/>
        </w:rPr>
        <w:t>（1）派驻有经验、态度积极的工程师安排培训，调机过程有问题随时解答，达到熟练设备操作，维护和工艺调试，中途不换培训人员；</w:t>
      </w:r>
    </w:p>
    <w:p>
      <w:pPr>
        <w:ind w:firstLine="420" w:firstLineChars="200"/>
        <w:rPr>
          <w:szCs w:val="21"/>
        </w:rPr>
      </w:pPr>
      <w:r>
        <w:rPr>
          <w:szCs w:val="21"/>
        </w:rPr>
        <w:t xml:space="preserve">（2）质保期内乙方应对由于设计、工艺或材料的缺陷而发生的任何不足和故障负责任。质保期内提供及时的升级服务； </w:t>
      </w:r>
    </w:p>
    <w:p>
      <w:pPr>
        <w:ind w:firstLine="420" w:firstLineChars="200"/>
        <w:rPr>
          <w:szCs w:val="21"/>
        </w:rPr>
      </w:pPr>
      <w:r>
        <w:rPr>
          <w:szCs w:val="21"/>
        </w:rPr>
        <w:t>（3）装置最终验收合格后开始计算质保期，免费两年维保，质保期期满后，乙方继续为甲提供专业维修服务，由此发生的相关服务和备品备件费用由甲方承担；</w:t>
      </w:r>
    </w:p>
    <w:p>
      <w:pPr>
        <w:ind w:firstLine="420" w:firstLineChars="200"/>
        <w:rPr>
          <w:szCs w:val="21"/>
        </w:rPr>
      </w:pPr>
      <w:r>
        <w:rPr>
          <w:szCs w:val="21"/>
        </w:rPr>
        <w:t>（4）乙方应保证有全天候热线电话服务。在保修期内设备出现故障，乙方应在接到用户有详细描述故障现象的报修通知后8小时内提供技术响应，48小时内到达现场，5个工作日内排除故障。如不能按期排除故障，则设备保修期顺延，但乙方须在30天内排除故障。</w:t>
      </w:r>
    </w:p>
    <w:p>
      <w:pPr>
        <w:ind w:firstLine="420" w:firstLineChars="200"/>
        <w:rPr>
          <w:szCs w:val="21"/>
        </w:rPr>
      </w:pPr>
    </w:p>
    <w:p>
      <w:pPr>
        <w:numPr>
          <w:ilvl w:val="0"/>
          <w:numId w:val="2"/>
        </w:numPr>
        <w:jc w:val="left"/>
        <w:rPr>
          <w:b/>
          <w:szCs w:val="21"/>
        </w:rPr>
      </w:pPr>
      <w:r>
        <w:rPr>
          <w:b/>
          <w:szCs w:val="21"/>
        </w:rPr>
        <w:t>非标定制设备相关附属件的要求及配件清单，外采材料设备的要求等</w:t>
      </w:r>
    </w:p>
    <w:p>
      <w:pPr>
        <w:ind w:firstLine="420" w:firstLineChars="200"/>
        <w:jc w:val="left"/>
        <w:rPr>
          <w:szCs w:val="21"/>
        </w:rPr>
      </w:pPr>
      <w:r>
        <w:rPr>
          <w:szCs w:val="21"/>
        </w:rPr>
        <w:t>见第2.2条——b）文档类附属件及提供时间点清单及第5条——设备出厂书面文件等要求。</w:t>
      </w:r>
    </w:p>
    <w:p>
      <w:pPr>
        <w:numPr>
          <w:ilvl w:val="0"/>
          <w:numId w:val="2"/>
        </w:numPr>
        <w:jc w:val="left"/>
        <w:rPr>
          <w:b/>
          <w:szCs w:val="21"/>
        </w:rPr>
      </w:pPr>
      <w:r>
        <w:rPr>
          <w:b/>
          <w:szCs w:val="21"/>
        </w:rPr>
        <w:t>进度（工程进度表）的要求</w:t>
      </w:r>
    </w:p>
    <w:p>
      <w:pPr>
        <w:ind w:firstLine="420" w:firstLineChars="200"/>
        <w:rPr>
          <w:szCs w:val="21"/>
        </w:rPr>
      </w:pPr>
      <w:r>
        <w:rPr>
          <w:szCs w:val="21"/>
        </w:rPr>
        <w:t>1）乙方应按照Oracle P6工程管理软件要求进行进度月报，乙方需要有专人跟进P6管理，并根据甲方的询问，提供进度计划执行情况；</w:t>
      </w:r>
    </w:p>
    <w:p>
      <w:pPr>
        <w:ind w:firstLine="420" w:firstLineChars="200"/>
        <w:rPr>
          <w:szCs w:val="21"/>
        </w:rPr>
      </w:pPr>
      <w:r>
        <w:rPr>
          <w:szCs w:val="21"/>
        </w:rPr>
        <w:t>2）合同签订后：乙方开始准备材料，并准备详细设计方案和</w:t>
      </w:r>
      <w:r>
        <w:rPr>
          <w:rFonts w:hint="eastAsia"/>
          <w:szCs w:val="21"/>
        </w:rPr>
        <w:t>对应</w:t>
      </w:r>
      <w:r>
        <w:rPr>
          <w:szCs w:val="21"/>
        </w:rPr>
        <w:t>图纸；</w:t>
      </w:r>
    </w:p>
    <w:p>
      <w:pPr>
        <w:ind w:firstLine="420" w:firstLineChars="200"/>
        <w:rPr>
          <w:szCs w:val="21"/>
        </w:rPr>
      </w:pPr>
      <w:r>
        <w:rPr>
          <w:szCs w:val="21"/>
        </w:rPr>
        <w:t>3）2020年11月：完成</w:t>
      </w:r>
      <w:r>
        <w:rPr>
          <w:rFonts w:hint="eastAsia"/>
          <w:szCs w:val="21"/>
        </w:rPr>
        <w:t>数据采集与控制子系统</w:t>
      </w:r>
      <w:r>
        <w:rPr>
          <w:szCs w:val="21"/>
        </w:rPr>
        <w:t>的详细设计方案，</w:t>
      </w:r>
      <w:r>
        <w:rPr>
          <w:rFonts w:hint="eastAsia"/>
          <w:szCs w:val="21"/>
        </w:rPr>
        <w:t>给出对应设计</w:t>
      </w:r>
      <w:r>
        <w:rPr>
          <w:szCs w:val="21"/>
        </w:rPr>
        <w:t>图纸；</w:t>
      </w:r>
    </w:p>
    <w:p>
      <w:pPr>
        <w:ind w:firstLine="420" w:firstLineChars="200"/>
        <w:rPr>
          <w:szCs w:val="21"/>
        </w:rPr>
      </w:pPr>
      <w:r>
        <w:rPr>
          <w:szCs w:val="21"/>
        </w:rPr>
        <w:t>4）2021年03月：完成</w:t>
      </w:r>
      <w:r>
        <w:rPr>
          <w:rFonts w:hint="eastAsia"/>
          <w:szCs w:val="21"/>
        </w:rPr>
        <w:t>数据采集与控制子系统研制</w:t>
      </w:r>
      <w:r>
        <w:rPr>
          <w:szCs w:val="21"/>
        </w:rPr>
        <w:t>；</w:t>
      </w:r>
    </w:p>
    <w:p>
      <w:pPr>
        <w:ind w:firstLine="420" w:firstLineChars="200"/>
        <w:rPr>
          <w:szCs w:val="21"/>
        </w:rPr>
      </w:pPr>
      <w:r>
        <w:rPr>
          <w:szCs w:val="21"/>
        </w:rPr>
        <w:t>5）2021年06月：开始</w:t>
      </w:r>
      <w:r>
        <w:rPr>
          <w:rFonts w:hint="eastAsia"/>
          <w:szCs w:val="21"/>
        </w:rPr>
        <w:t>数据采集与控制子系统</w:t>
      </w:r>
      <w:r>
        <w:rPr>
          <w:szCs w:val="21"/>
        </w:rPr>
        <w:t>的安装和调试；</w:t>
      </w:r>
    </w:p>
    <w:p>
      <w:pPr>
        <w:ind w:firstLine="420" w:firstLineChars="200"/>
        <w:rPr>
          <w:szCs w:val="21"/>
        </w:rPr>
      </w:pPr>
      <w:r>
        <w:rPr>
          <w:szCs w:val="21"/>
        </w:rPr>
        <w:t>6）2021年12月：</w:t>
      </w:r>
      <w:r>
        <w:rPr>
          <w:rFonts w:hint="eastAsia"/>
          <w:szCs w:val="21"/>
        </w:rPr>
        <w:t>数据采集与控制子系统验收</w:t>
      </w:r>
      <w:r>
        <w:rPr>
          <w:szCs w:val="21"/>
        </w:rPr>
        <w:t>完毕。</w:t>
      </w:r>
    </w:p>
    <w:p>
      <w:pPr>
        <w:ind w:firstLine="420" w:firstLineChars="200"/>
        <w:rPr>
          <w:szCs w:val="21"/>
        </w:rPr>
      </w:pPr>
      <w:r>
        <w:rPr>
          <w:szCs w:val="21"/>
        </w:rPr>
        <w:t>乙方需在投标文件中根据以上主要的时间节点要求，给出详细的进度安排说明。</w:t>
      </w:r>
    </w:p>
    <w:p>
      <w:pPr>
        <w:numPr>
          <w:ilvl w:val="0"/>
          <w:numId w:val="2"/>
        </w:numPr>
        <w:jc w:val="left"/>
        <w:rPr>
          <w:b/>
          <w:szCs w:val="21"/>
        </w:rPr>
      </w:pPr>
      <w:r>
        <w:rPr>
          <w:b/>
          <w:szCs w:val="21"/>
        </w:rPr>
        <w:t>工程实施过程要求及加工期技术文件变更方式要求</w:t>
      </w:r>
    </w:p>
    <w:p>
      <w:pPr>
        <w:ind w:firstLine="420" w:firstLineChars="200"/>
        <w:rPr>
          <w:szCs w:val="21"/>
        </w:rPr>
      </w:pPr>
      <w:r>
        <w:rPr>
          <w:szCs w:val="21"/>
        </w:rPr>
        <w:t>为了确保项目符合国家要求，项目将在甲乙双方充分沟通的情况下实施。</w:t>
      </w:r>
    </w:p>
    <w:p>
      <w:pPr>
        <w:ind w:firstLine="420" w:firstLineChars="200"/>
        <w:rPr>
          <w:szCs w:val="21"/>
        </w:rPr>
      </w:pPr>
      <w:r>
        <w:rPr>
          <w:szCs w:val="21"/>
        </w:rPr>
        <w:t>双方签署的正规文件为有效文件。对影响项目需求、主要成果交付日期、项目费用和项目总体参数的变更，必须按照甲乙双方约定的《变更控制规范》执行。</w:t>
      </w:r>
    </w:p>
    <w:p>
      <w:pPr>
        <w:numPr>
          <w:ilvl w:val="0"/>
          <w:numId w:val="2"/>
        </w:numPr>
        <w:jc w:val="left"/>
        <w:rPr>
          <w:b/>
          <w:szCs w:val="21"/>
        </w:rPr>
      </w:pPr>
      <w:r>
        <w:rPr>
          <w:b/>
          <w:szCs w:val="21"/>
        </w:rPr>
        <w:t>甲方需提供的材料及支持（如作业环境、人员等方面）</w:t>
      </w:r>
    </w:p>
    <w:p>
      <w:pPr>
        <w:adjustRightInd w:val="0"/>
        <w:snapToGrid w:val="0"/>
        <w:ind w:left="422"/>
        <w:jc w:val="left"/>
        <w:rPr>
          <w:szCs w:val="21"/>
        </w:rPr>
      </w:pPr>
      <w:r>
        <w:rPr>
          <w:szCs w:val="21"/>
        </w:rPr>
        <w:t>1）甲方接受乙方指定技术代表的技术咨询，并派专人与乙方对接协调解决相关事宜。</w:t>
      </w:r>
    </w:p>
    <w:p>
      <w:pPr>
        <w:adjustRightInd w:val="0"/>
        <w:snapToGrid w:val="0"/>
        <w:ind w:firstLine="420" w:firstLineChars="200"/>
        <w:jc w:val="left"/>
        <w:rPr>
          <w:szCs w:val="21"/>
        </w:rPr>
      </w:pPr>
      <w:r>
        <w:rPr>
          <w:szCs w:val="21"/>
        </w:rPr>
        <w:t>2）提供真空系统中等离子体源安装位置相关结构件的尺寸和图纸。</w:t>
      </w:r>
    </w:p>
    <w:p>
      <w:pPr>
        <w:adjustRightInd w:val="0"/>
        <w:snapToGrid w:val="0"/>
        <w:ind w:firstLine="420" w:firstLineChars="200"/>
        <w:jc w:val="left"/>
        <w:rPr>
          <w:szCs w:val="21"/>
        </w:rPr>
      </w:pPr>
      <w:r>
        <w:rPr>
          <w:szCs w:val="21"/>
        </w:rPr>
        <w:t>3）提供安装现场建筑的图纸。</w:t>
      </w:r>
    </w:p>
    <w:p>
      <w:pPr>
        <w:adjustRightInd w:val="0"/>
        <w:snapToGrid w:val="0"/>
        <w:ind w:firstLine="420" w:firstLineChars="200"/>
        <w:jc w:val="left"/>
        <w:rPr>
          <w:szCs w:val="21"/>
        </w:rPr>
      </w:pPr>
      <w:r>
        <w:rPr>
          <w:szCs w:val="21"/>
        </w:rPr>
        <w:t>4）施工期间提供乙方所需的</w:t>
      </w:r>
      <w:r>
        <w:rPr>
          <w:rFonts w:hint="eastAsia"/>
          <w:szCs w:val="21"/>
        </w:rPr>
        <w:t>动力</w:t>
      </w:r>
      <w:r>
        <w:rPr>
          <w:szCs w:val="21"/>
        </w:rPr>
        <w:t>电源</w:t>
      </w:r>
      <w:r>
        <w:rPr>
          <w:rFonts w:hint="eastAsia"/>
          <w:szCs w:val="21"/>
        </w:rPr>
        <w:t>（包含至乙方测试费用中）</w:t>
      </w:r>
      <w:r>
        <w:rPr>
          <w:szCs w:val="21"/>
        </w:rPr>
        <w:t>。</w:t>
      </w:r>
    </w:p>
    <w:p>
      <w:pPr>
        <w:adjustRightInd w:val="0"/>
        <w:snapToGrid w:val="0"/>
        <w:ind w:firstLine="420" w:firstLineChars="200"/>
        <w:jc w:val="left"/>
        <w:rPr>
          <w:szCs w:val="21"/>
        </w:rPr>
      </w:pPr>
      <w:r>
        <w:rPr>
          <w:szCs w:val="21"/>
        </w:rPr>
        <w:t>5）建筑内部具有材料运输通道，现场提供天车用于运输材料</w:t>
      </w:r>
      <w:r>
        <w:rPr>
          <w:rFonts w:hint="eastAsia"/>
          <w:szCs w:val="21"/>
        </w:rPr>
        <w:t>，但由乙方外聘专业持证天车操作人员</w:t>
      </w:r>
      <w:r>
        <w:rPr>
          <w:szCs w:val="21"/>
        </w:rPr>
        <w:t>。</w:t>
      </w:r>
    </w:p>
    <w:p>
      <w:pPr>
        <w:numPr>
          <w:ilvl w:val="0"/>
          <w:numId w:val="2"/>
        </w:numPr>
        <w:jc w:val="left"/>
        <w:rPr>
          <w:szCs w:val="21"/>
        </w:rPr>
      </w:pPr>
      <w:r>
        <w:rPr>
          <w:b/>
          <w:szCs w:val="21"/>
        </w:rPr>
        <w:t>付款方式约定及要求</w:t>
      </w:r>
    </w:p>
    <w:p>
      <w:pPr>
        <w:ind w:firstLine="420" w:firstLineChars="200"/>
        <w:rPr>
          <w:szCs w:val="21"/>
        </w:rPr>
      </w:pPr>
      <w:r>
        <w:rPr>
          <w:szCs w:val="21"/>
        </w:rPr>
        <w:t>1）双方签订合同前，乙方支付5%的履约保证金。项目正式验收后，履约保证金转为质保金。乙方按招标及合同要求在质保期内履行质保责任，质保期结束后，装置运行无问题</w:t>
      </w:r>
      <w:r>
        <w:rPr>
          <w:rFonts w:hint="eastAsia"/>
          <w:szCs w:val="21"/>
        </w:rPr>
        <w:t>并经</w:t>
      </w:r>
      <w:r>
        <w:rPr>
          <w:szCs w:val="21"/>
        </w:rPr>
        <w:t>甲方</w:t>
      </w:r>
      <w:r>
        <w:rPr>
          <w:rFonts w:hint="eastAsia"/>
          <w:szCs w:val="21"/>
        </w:rPr>
        <w:t>确认后，</w:t>
      </w:r>
      <w:r>
        <w:rPr>
          <w:szCs w:val="21"/>
        </w:rPr>
        <w:t>无息返还乙方所有质保金。</w:t>
      </w:r>
      <w:r>
        <w:rPr>
          <w:rFonts w:hint="eastAsia"/>
          <w:szCs w:val="21"/>
        </w:rPr>
        <w:t>如若乙方在质保期内未履行相关质保责任，则甲方将视具体情况扣除乙方部分或全部质保金。</w:t>
      </w:r>
    </w:p>
    <w:p>
      <w:pPr>
        <w:ind w:firstLine="420" w:firstLineChars="200"/>
        <w:rPr>
          <w:szCs w:val="21"/>
        </w:rPr>
      </w:pPr>
      <w:r>
        <w:rPr>
          <w:szCs w:val="21"/>
        </w:rPr>
        <w:t>2）双方签订合同后，乙方在接到甲方开票通知后10个工作日内提供发票给甲方，甲方在收到乙方发票后25个工作日内支付30%合同款到乙方账户。</w:t>
      </w:r>
    </w:p>
    <w:p>
      <w:pPr>
        <w:ind w:firstLine="420" w:firstLineChars="200"/>
        <w:rPr>
          <w:szCs w:val="21"/>
        </w:rPr>
      </w:pPr>
      <w:r>
        <w:rPr>
          <w:szCs w:val="21"/>
        </w:rPr>
        <w:t>3）详细设计评审通过</w:t>
      </w:r>
      <w:r>
        <w:rPr>
          <w:rFonts w:hint="eastAsia"/>
          <w:szCs w:val="21"/>
        </w:rPr>
        <w:t>（取得经评审专家和甲乙双方相关负责人签字确认的评审报告）</w:t>
      </w:r>
      <w:r>
        <w:rPr>
          <w:szCs w:val="21"/>
        </w:rPr>
        <w:t>，甲方签字确认后，乙方在接到甲方开票通知后10个工作日内提供发票给甲方，甲方在收到乙方发票后支付40%合同款到乙方账户。</w:t>
      </w:r>
    </w:p>
    <w:p>
      <w:pPr>
        <w:ind w:firstLine="420" w:firstLineChars="200"/>
        <w:rPr>
          <w:szCs w:val="21"/>
        </w:rPr>
      </w:pPr>
      <w:r>
        <w:rPr>
          <w:szCs w:val="21"/>
        </w:rPr>
        <w:t>4）设备最终验收通过</w:t>
      </w:r>
      <w:r>
        <w:rPr>
          <w:rFonts w:hint="eastAsia"/>
          <w:szCs w:val="21"/>
        </w:rPr>
        <w:t>（取得甲乙双方相关负责人签字确认的验收单）</w:t>
      </w:r>
      <w:r>
        <w:rPr>
          <w:szCs w:val="21"/>
        </w:rPr>
        <w:t>，第2项中所列设备、附属件及文档全部通过最终验收、甲方签字确认后，乙方在接到甲方开票通知后10个工作日内提供发票给甲方，甲方在收到乙方发票支付30%合同款到乙方账户。</w:t>
      </w:r>
    </w:p>
    <w:p>
      <w:pPr>
        <w:ind w:firstLine="420" w:firstLineChars="200"/>
        <w:rPr>
          <w:szCs w:val="21"/>
        </w:rPr>
      </w:pPr>
      <w:r>
        <w:rPr>
          <w:szCs w:val="21"/>
        </w:rPr>
        <w:t>5）上述付款时间节点必须在国家拨款到账后才能进行支付</w:t>
      </w:r>
      <w:r>
        <w:rPr>
          <w:rFonts w:hint="eastAsia"/>
          <w:szCs w:val="21"/>
        </w:rPr>
        <w:t>，如因此问题付款逾期不属于合同违约</w:t>
      </w:r>
      <w:r>
        <w:rPr>
          <w:szCs w:val="21"/>
        </w:rPr>
        <w:t>。</w:t>
      </w:r>
    </w:p>
    <w:p>
      <w:pPr>
        <w:numPr>
          <w:ilvl w:val="0"/>
          <w:numId w:val="2"/>
        </w:numPr>
        <w:jc w:val="left"/>
        <w:rPr>
          <w:b/>
          <w:szCs w:val="21"/>
        </w:rPr>
      </w:pPr>
      <w:r>
        <w:rPr>
          <w:b/>
          <w:szCs w:val="21"/>
        </w:rPr>
        <w:t>相关附加其他技术、服务要求</w:t>
      </w:r>
    </w:p>
    <w:p>
      <w:pPr>
        <w:ind w:firstLine="422" w:firstLineChars="200"/>
        <w:rPr>
          <w:b/>
          <w:szCs w:val="21"/>
        </w:rPr>
      </w:pPr>
      <w:r>
        <w:rPr>
          <w:b/>
          <w:szCs w:val="21"/>
        </w:rPr>
        <w:t>13.1关键控制点及要求</w:t>
      </w:r>
    </w:p>
    <w:p>
      <w:pPr>
        <w:adjustRightInd w:val="0"/>
        <w:snapToGrid w:val="0"/>
        <w:ind w:left="430" w:leftChars="205"/>
        <w:jc w:val="left"/>
        <w:rPr>
          <w:szCs w:val="21"/>
        </w:rPr>
      </w:pPr>
      <w:r>
        <w:rPr>
          <w:szCs w:val="21"/>
        </w:rPr>
        <w:t>1）关键单元技术验证</w:t>
      </w:r>
    </w:p>
    <w:p>
      <w:pPr>
        <w:adjustRightInd w:val="0"/>
        <w:snapToGrid w:val="0"/>
        <w:ind w:left="430" w:leftChars="205"/>
        <w:jc w:val="left"/>
        <w:rPr>
          <w:szCs w:val="21"/>
        </w:rPr>
      </w:pPr>
      <w:r>
        <w:rPr>
          <w:szCs w:val="21"/>
        </w:rPr>
        <w:t>2）系统研制中过程监督与控制</w:t>
      </w:r>
    </w:p>
    <w:p>
      <w:pPr>
        <w:adjustRightInd w:val="0"/>
        <w:snapToGrid w:val="0"/>
        <w:ind w:left="430" w:leftChars="205"/>
        <w:jc w:val="left"/>
        <w:rPr>
          <w:szCs w:val="21"/>
        </w:rPr>
      </w:pPr>
      <w:r>
        <w:rPr>
          <w:szCs w:val="21"/>
        </w:rPr>
        <w:t>3）出厂前系统级</w:t>
      </w:r>
      <w:r>
        <w:rPr>
          <w:rFonts w:hint="eastAsia"/>
          <w:szCs w:val="21"/>
        </w:rPr>
        <w:t>的</w:t>
      </w:r>
      <w:r>
        <w:rPr>
          <w:szCs w:val="21"/>
        </w:rPr>
        <w:t>集成</w:t>
      </w:r>
      <w:r>
        <w:rPr>
          <w:rFonts w:hint="eastAsia"/>
          <w:szCs w:val="21"/>
        </w:rPr>
        <w:t>与</w:t>
      </w:r>
      <w:r>
        <w:rPr>
          <w:szCs w:val="21"/>
        </w:rPr>
        <w:t>联调</w:t>
      </w:r>
    </w:p>
    <w:p>
      <w:pPr>
        <w:adjustRightInd w:val="0"/>
        <w:snapToGrid w:val="0"/>
        <w:ind w:left="430" w:leftChars="205"/>
        <w:jc w:val="left"/>
        <w:rPr>
          <w:szCs w:val="21"/>
        </w:rPr>
      </w:pPr>
      <w:r>
        <w:rPr>
          <w:szCs w:val="21"/>
        </w:rPr>
        <w:t>4）现场系统级</w:t>
      </w:r>
      <w:r>
        <w:rPr>
          <w:rFonts w:hint="eastAsia"/>
          <w:szCs w:val="21"/>
        </w:rPr>
        <w:t>的</w:t>
      </w:r>
      <w:r>
        <w:rPr>
          <w:szCs w:val="21"/>
        </w:rPr>
        <w:t>集成</w:t>
      </w:r>
      <w:r>
        <w:rPr>
          <w:rFonts w:hint="eastAsia"/>
          <w:szCs w:val="21"/>
        </w:rPr>
        <w:t>与</w:t>
      </w:r>
      <w:r>
        <w:rPr>
          <w:szCs w:val="21"/>
        </w:rPr>
        <w:t>联调</w:t>
      </w:r>
    </w:p>
    <w:p>
      <w:pPr>
        <w:adjustRightInd w:val="0"/>
        <w:snapToGrid w:val="0"/>
        <w:ind w:left="430" w:leftChars="205"/>
        <w:jc w:val="left"/>
        <w:rPr>
          <w:szCs w:val="21"/>
        </w:rPr>
      </w:pPr>
      <w:r>
        <w:rPr>
          <w:szCs w:val="21"/>
        </w:rPr>
        <w:t>5）系统（设备）联机试运行</w:t>
      </w:r>
    </w:p>
    <w:p>
      <w:pPr>
        <w:adjustRightInd w:val="0"/>
        <w:snapToGrid w:val="0"/>
        <w:ind w:left="430" w:leftChars="205"/>
        <w:jc w:val="left"/>
        <w:rPr>
          <w:szCs w:val="21"/>
        </w:rPr>
      </w:pPr>
      <w:r>
        <w:rPr>
          <w:szCs w:val="21"/>
        </w:rPr>
        <w:t>6）系统（设备）性能测试及验收</w:t>
      </w:r>
    </w:p>
    <w:p>
      <w:pPr>
        <w:ind w:firstLine="422" w:firstLineChars="200"/>
        <w:rPr>
          <w:b/>
          <w:szCs w:val="21"/>
        </w:rPr>
      </w:pPr>
      <w:r>
        <w:rPr>
          <w:b/>
          <w:szCs w:val="21"/>
        </w:rPr>
        <w:t>13.2 非标设备入场后，设备的现场保护等（外壳防护等）</w:t>
      </w:r>
    </w:p>
    <w:p>
      <w:pPr>
        <w:adjustRightInd w:val="0"/>
        <w:snapToGrid w:val="0"/>
        <w:ind w:left="430" w:leftChars="205"/>
        <w:jc w:val="left"/>
        <w:rPr>
          <w:szCs w:val="21"/>
        </w:rPr>
      </w:pPr>
      <w:r>
        <w:rPr>
          <w:szCs w:val="21"/>
        </w:rPr>
        <w:t>乙方在系统安装过程中需做好设备的安全防护。</w:t>
      </w:r>
    </w:p>
    <w:p>
      <w:pPr>
        <w:ind w:firstLine="422" w:firstLineChars="200"/>
        <w:rPr>
          <w:b/>
          <w:szCs w:val="21"/>
        </w:rPr>
      </w:pPr>
      <w:r>
        <w:rPr>
          <w:b/>
          <w:szCs w:val="21"/>
        </w:rPr>
        <w:t>13.3 与设备监理公司对接的相关条例等</w:t>
      </w:r>
    </w:p>
    <w:p>
      <w:pPr>
        <w:ind w:firstLine="420" w:firstLineChars="200"/>
        <w:rPr>
          <w:szCs w:val="21"/>
        </w:rPr>
      </w:pPr>
      <w:r>
        <w:rPr>
          <w:szCs w:val="21"/>
        </w:rPr>
        <w:t>乙方在现场安装时，需配合总体监督和协调相关要求。</w:t>
      </w:r>
    </w:p>
    <w:p>
      <w:pPr>
        <w:numPr>
          <w:ilvl w:val="0"/>
          <w:numId w:val="2"/>
        </w:numPr>
        <w:jc w:val="left"/>
        <w:rPr>
          <w:b/>
          <w:szCs w:val="21"/>
        </w:rPr>
      </w:pPr>
      <w:r>
        <w:rPr>
          <w:b/>
          <w:szCs w:val="21"/>
        </w:rPr>
        <w:t>不允许分包及不允许联合体投标放入准入条件中进行说明</w:t>
      </w:r>
    </w:p>
    <w:p>
      <w:pPr>
        <w:ind w:firstLine="420" w:firstLineChars="200"/>
        <w:rPr>
          <w:szCs w:val="21"/>
        </w:rPr>
      </w:pPr>
      <w:r>
        <w:rPr>
          <w:szCs w:val="21"/>
        </w:rPr>
        <w:t>合同可以由甲方转让给中国政府或政府指定的机构。除了以下的关于应付款的转让，无论任何目的，如果没有甲方的书面同意，合同承担方无权销售、抵押、转让本合同或者本合同的任何部分，无权销售、抵押、转让本合同中的任何利益或任何要求权，也不允许任何其他的当事人（们）对本合同授予的权利或义务的任何部分表现出兴趣或者使用这些权利或义务。</w:t>
      </w:r>
    </w:p>
    <w:p>
      <w:pPr>
        <w:numPr>
          <w:ilvl w:val="0"/>
          <w:numId w:val="2"/>
        </w:numPr>
        <w:jc w:val="left"/>
        <w:rPr>
          <w:b/>
          <w:szCs w:val="21"/>
        </w:rPr>
      </w:pPr>
      <w:r>
        <w:rPr>
          <w:b/>
          <w:szCs w:val="21"/>
        </w:rPr>
        <w:t>知识产权</w:t>
      </w:r>
    </w:p>
    <w:p>
      <w:pPr>
        <w:ind w:firstLine="420" w:firstLineChars="200"/>
        <w:rPr>
          <w:szCs w:val="21"/>
        </w:rPr>
      </w:pPr>
      <w:r>
        <w:rPr>
          <w:szCs w:val="21"/>
        </w:rPr>
        <w:t>乙方应保证，甲方使用该货物或货物的任何一部分时，免受第三方提出的侵犯其专利权、商标权、著作权或其它知识产权的起诉。任何第三方如果提出侵权指控，乙方须与第三方交涉并承担由此而引起的一切法律责任和费用以及因此给甲方造成的损失。</w:t>
      </w:r>
    </w:p>
    <w:p>
      <w:pPr>
        <w:ind w:firstLine="420" w:firstLineChars="200"/>
        <w:rPr>
          <w:szCs w:val="21"/>
        </w:rPr>
      </w:pPr>
      <w:r>
        <w:rPr>
          <w:szCs w:val="21"/>
        </w:rPr>
        <w:t>乙方对其销售货物享有完整的所有权，不存在权利瑕疵。因此产品侵权产生的法律责任由乙方承担。</w:t>
      </w:r>
    </w:p>
    <w:p>
      <w:pPr>
        <w:ind w:firstLine="420" w:firstLineChars="200"/>
        <w:rPr>
          <w:szCs w:val="21"/>
        </w:rPr>
      </w:pPr>
      <w:r>
        <w:rPr>
          <w:szCs w:val="21"/>
        </w:rPr>
        <w:t>甲方委托乙方为甲方从事开发并制造产品服务的工作，乙方</w:t>
      </w:r>
      <w:r>
        <w:rPr>
          <w:rFonts w:hint="eastAsia"/>
          <w:szCs w:val="21"/>
        </w:rPr>
        <w:t>执行本项目</w:t>
      </w:r>
      <w:r>
        <w:rPr>
          <w:szCs w:val="21"/>
        </w:rPr>
        <w:t>所产生的</w:t>
      </w:r>
      <w:r>
        <w:rPr>
          <w:rFonts w:hint="eastAsia"/>
          <w:szCs w:val="21"/>
        </w:rPr>
        <w:t>与本项目相关的</w:t>
      </w:r>
      <w:r>
        <w:rPr>
          <w:szCs w:val="21"/>
        </w:rPr>
        <w:t>工作成果及与工作成果有关的知识产权（包括乙方根据甲方许可的权利而新创作产生的知识产权）归甲</w:t>
      </w:r>
      <w:r>
        <w:rPr>
          <w:rFonts w:hint="eastAsia"/>
          <w:szCs w:val="21"/>
        </w:rPr>
        <w:t>乙双方共</w:t>
      </w:r>
      <w:r>
        <w:rPr>
          <w:szCs w:val="21"/>
        </w:rPr>
        <w:t>有。涉及甲方享有知识产权，未经甲方许可不得转让任何第三方。</w:t>
      </w:r>
    </w:p>
    <w:p>
      <w:pPr>
        <w:ind w:firstLine="420" w:firstLineChars="200"/>
        <w:rPr>
          <w:szCs w:val="21"/>
        </w:rPr>
      </w:pPr>
      <w:r>
        <w:rPr>
          <w:szCs w:val="21"/>
        </w:rPr>
        <w:t>甲方向乙方提供的任何技术资料都是用于本项目的资料，乙方有义务为甲方保密，在履行任何本项目以外的任何目的时，不得使用甲方提供的任何图纸、资料。</w:t>
      </w:r>
    </w:p>
    <w:p>
      <w:pPr>
        <w:rPr>
          <w:szCs w:val="21"/>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274" w:bottom="1440" w:left="127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Style w:val="7"/>
      </w:rPr>
      <w:fldChar w:fldCharType="begin"/>
    </w:r>
    <w:r>
      <w:rPr>
        <w:rStyle w:val="7"/>
      </w:rPr>
      <w:instrText xml:space="preserve"> PAGE </w:instrText>
    </w:r>
    <w:r>
      <w:rPr>
        <w:rStyle w:val="7"/>
      </w:rPr>
      <w:fldChar w:fldCharType="separate"/>
    </w:r>
    <w:r>
      <w:rPr>
        <w:rStyle w:val="7"/>
      </w:rPr>
      <w:t>1</w:t>
    </w:r>
    <w:r>
      <w:rPr>
        <w:rStyle w:val="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125"/>
        <w:tab w:val="clear" w:pos="4153"/>
        <w:tab w:val="clear" w:pos="8306"/>
      </w:tabs>
      <w:ind w:right="792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E1616"/>
    <w:multiLevelType w:val="multilevel"/>
    <w:tmpl w:val="274E161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08488E"/>
    <w:multiLevelType w:val="multilevel"/>
    <w:tmpl w:val="3C08488E"/>
    <w:lvl w:ilvl="0" w:tentative="0">
      <w:start w:val="1"/>
      <w:numFmt w:val="decimal"/>
      <w:lvlText w:val="%1."/>
      <w:lvlJc w:val="left"/>
      <w:pPr>
        <w:ind w:left="782" w:hanging="360"/>
      </w:pPr>
      <w:rPr>
        <w:rFonts w:hint="default"/>
        <w:b/>
      </w:rPr>
    </w:lvl>
    <w:lvl w:ilvl="1" w:tentative="0">
      <w:start w:val="2"/>
      <w:numFmt w:val="decimal"/>
      <w:isLgl/>
      <w:lvlText w:val="%1.%2"/>
      <w:lvlJc w:val="left"/>
      <w:pPr>
        <w:ind w:left="782" w:hanging="360"/>
      </w:pPr>
      <w:rPr>
        <w:rFonts w:hint="default"/>
      </w:rPr>
    </w:lvl>
    <w:lvl w:ilvl="2" w:tentative="0">
      <w:start w:val="1"/>
      <w:numFmt w:val="decimal"/>
      <w:isLgl/>
      <w:lvlText w:val="%1.%2.%3"/>
      <w:lvlJc w:val="left"/>
      <w:pPr>
        <w:ind w:left="1142" w:hanging="720"/>
      </w:pPr>
      <w:rPr>
        <w:rFonts w:hint="default"/>
      </w:rPr>
    </w:lvl>
    <w:lvl w:ilvl="3" w:tentative="0">
      <w:start w:val="1"/>
      <w:numFmt w:val="decimal"/>
      <w:isLgl/>
      <w:lvlText w:val="%1.%2.%3.%4"/>
      <w:lvlJc w:val="left"/>
      <w:pPr>
        <w:ind w:left="1502" w:hanging="1080"/>
      </w:pPr>
      <w:rPr>
        <w:rFonts w:hint="default"/>
      </w:rPr>
    </w:lvl>
    <w:lvl w:ilvl="4" w:tentative="0">
      <w:start w:val="1"/>
      <w:numFmt w:val="decimal"/>
      <w:isLgl/>
      <w:lvlText w:val="%1.%2.%3.%4.%5"/>
      <w:lvlJc w:val="left"/>
      <w:pPr>
        <w:ind w:left="1502" w:hanging="1080"/>
      </w:pPr>
      <w:rPr>
        <w:rFonts w:hint="default"/>
      </w:rPr>
    </w:lvl>
    <w:lvl w:ilvl="5" w:tentative="0">
      <w:start w:val="1"/>
      <w:numFmt w:val="decimal"/>
      <w:isLgl/>
      <w:lvlText w:val="%1.%2.%3.%4.%5.%6"/>
      <w:lvlJc w:val="left"/>
      <w:pPr>
        <w:ind w:left="1862" w:hanging="1440"/>
      </w:pPr>
      <w:rPr>
        <w:rFonts w:hint="default"/>
      </w:rPr>
    </w:lvl>
    <w:lvl w:ilvl="6" w:tentative="0">
      <w:start w:val="1"/>
      <w:numFmt w:val="decimal"/>
      <w:isLgl/>
      <w:lvlText w:val="%1.%2.%3.%4.%5.%6.%7"/>
      <w:lvlJc w:val="left"/>
      <w:pPr>
        <w:ind w:left="1862" w:hanging="1440"/>
      </w:pPr>
      <w:rPr>
        <w:rFonts w:hint="default"/>
      </w:rPr>
    </w:lvl>
    <w:lvl w:ilvl="7" w:tentative="0">
      <w:start w:val="1"/>
      <w:numFmt w:val="decimal"/>
      <w:isLgl/>
      <w:lvlText w:val="%1.%2.%3.%4.%5.%6.%7.%8"/>
      <w:lvlJc w:val="left"/>
      <w:pPr>
        <w:ind w:left="2222" w:hanging="1800"/>
      </w:pPr>
      <w:rPr>
        <w:rFonts w:hint="default"/>
      </w:rPr>
    </w:lvl>
    <w:lvl w:ilvl="8" w:tentative="0">
      <w:start w:val="1"/>
      <w:numFmt w:val="decimal"/>
      <w:isLgl/>
      <w:lvlText w:val="%1.%2.%3.%4.%5.%6.%7.%8.%9"/>
      <w:lvlJc w:val="left"/>
      <w:pPr>
        <w:ind w:left="2222" w:hanging="1800"/>
      </w:pPr>
      <w:rPr>
        <w:rFonts w:hint="default"/>
      </w:rPr>
    </w:lvl>
  </w:abstractNum>
  <w:abstractNum w:abstractNumId="2">
    <w:nsid w:val="596001B5"/>
    <w:multiLevelType w:val="multilevel"/>
    <w:tmpl w:val="596001B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BF7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2020-05-29T08:49:52Z</dcterms:created>
  <dc:creator>Administrator.PC-20151222GRIG</dc:creator>
  <cp:lastModifiedBy>邱实</cp:lastModifiedBy>
  <dcterms:modified xsi:type="dcterms:W3CDTF">2020-05-29T08:49:59Z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