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B40" w:rsidRPr="005833AE" w:rsidRDefault="006C0B40" w:rsidP="006C0B40">
      <w:pPr>
        <w:widowControl w:val="0"/>
        <w:numPr>
          <w:ilvl w:val="1"/>
          <w:numId w:val="1"/>
        </w:numPr>
        <w:adjustRightInd/>
        <w:snapToGrid/>
        <w:spacing w:after="0" w:line="44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设备1-n的布局、摆放位置、与其他系统或基建的接口、协调及要求等</w:t>
      </w:r>
    </w:p>
    <w:p w:rsidR="006C0B40" w:rsidRPr="005833AE" w:rsidRDefault="006C0B40" w:rsidP="006C0B40">
      <w:pPr>
        <w:widowControl w:val="0"/>
        <w:numPr>
          <w:ilvl w:val="2"/>
          <w:numId w:val="1"/>
        </w:numPr>
        <w:adjustRightInd/>
        <w:snapToGrid/>
        <w:spacing w:after="0" w:line="44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与加速器系统的接口、协调及要求</w:t>
      </w:r>
    </w:p>
    <w:p w:rsidR="006C0B40" w:rsidRPr="005833AE" w:rsidRDefault="006C0B40" w:rsidP="006C0B40">
      <w:pPr>
        <w:widowControl w:val="0"/>
        <w:adjustRightInd/>
        <w:snapToGrid/>
        <w:spacing w:after="0" w:line="440" w:lineRule="exact"/>
        <w:ind w:left="1142"/>
        <w:jc w:val="both"/>
        <w:rPr>
          <w:rFonts w:ascii="宋体" w:eastAsia="宋体" w:hAnsi="宋体" w:cs="宋体"/>
          <w:kern w:val="2"/>
          <w:sz w:val="24"/>
          <w:szCs w:val="24"/>
        </w:rPr>
      </w:pPr>
      <w:r w:rsidRPr="005833AE">
        <w:rPr>
          <w:rFonts w:ascii="宋体" w:eastAsia="宋体" w:hAnsi="宋体" w:cs="宋体" w:hint="eastAsia"/>
          <w:kern w:val="2"/>
          <w:sz w:val="24"/>
          <w:szCs w:val="24"/>
        </w:rPr>
        <w:t>投标方需与各加速器系统负责人的配合内容包括：</w:t>
      </w:r>
    </w:p>
    <w:p w:rsidR="006C0B40" w:rsidRPr="005833AE" w:rsidRDefault="006C0B40" w:rsidP="006C0B40">
      <w:pPr>
        <w:widowControl w:val="0"/>
        <w:numPr>
          <w:ilvl w:val="0"/>
          <w:numId w:val="3"/>
        </w:numPr>
        <w:adjustRightInd/>
        <w:snapToGrid/>
        <w:spacing w:after="0" w:line="44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各加速器主要工艺、运行模式的说明，包括加速器运行、调束、停止、维修等状态下，源项的分布、位置及强度；</w:t>
      </w:r>
    </w:p>
    <w:p w:rsidR="006C0B40" w:rsidRPr="005833AE" w:rsidRDefault="006C0B40" w:rsidP="006C0B40">
      <w:pPr>
        <w:widowControl w:val="0"/>
        <w:numPr>
          <w:ilvl w:val="0"/>
          <w:numId w:val="3"/>
        </w:numPr>
        <w:adjustRightInd/>
        <w:snapToGrid/>
        <w:spacing w:after="0" w:line="44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各加速器运行事故、人员误操作等紧急情况时的处理策略；</w:t>
      </w:r>
    </w:p>
    <w:p w:rsidR="006C0B40" w:rsidRPr="005833AE" w:rsidRDefault="006C0B40" w:rsidP="006C0B40">
      <w:pPr>
        <w:widowControl w:val="0"/>
        <w:numPr>
          <w:ilvl w:val="0"/>
          <w:numId w:val="3"/>
        </w:numPr>
        <w:adjustRightInd/>
        <w:snapToGrid/>
        <w:spacing w:after="0" w:line="44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各加速器开停机信号接口，包括读取加速器运行状态、加速器接收执行安全联锁系统联锁信号、信号引出引入位置、信号格式等；</w:t>
      </w:r>
    </w:p>
    <w:p w:rsidR="006C0B40" w:rsidRPr="005833AE" w:rsidRDefault="006C0B40" w:rsidP="006C0B40">
      <w:pPr>
        <w:widowControl w:val="0"/>
        <w:numPr>
          <w:ilvl w:val="0"/>
          <w:numId w:val="3"/>
        </w:numPr>
        <w:adjustRightInd/>
        <w:snapToGrid/>
        <w:spacing w:after="0" w:line="44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加速器各区域状态指示信号的引出位置及其格式；</w:t>
      </w:r>
    </w:p>
    <w:p w:rsidR="006C0B40" w:rsidRPr="005833AE" w:rsidRDefault="006C0B40" w:rsidP="006C0B40">
      <w:pPr>
        <w:widowControl w:val="0"/>
        <w:numPr>
          <w:ilvl w:val="0"/>
          <w:numId w:val="3"/>
        </w:numPr>
        <w:adjustRightInd/>
        <w:snapToGrid/>
        <w:spacing w:after="0" w:line="44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束流配送线上束流阻挡装置的状态信号引出位置及格式、接受执行联锁信号的引入位置及格式；</w:t>
      </w:r>
    </w:p>
    <w:p w:rsidR="006C0B40" w:rsidRPr="005833AE" w:rsidRDefault="006C0B40" w:rsidP="006C0B40">
      <w:pPr>
        <w:widowControl w:val="0"/>
        <w:numPr>
          <w:ilvl w:val="0"/>
          <w:numId w:val="3"/>
        </w:numPr>
        <w:adjustRightInd/>
        <w:snapToGrid/>
        <w:spacing w:after="0" w:line="44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与高能区辐射监测与人身安全联锁系统的接口配合；</w:t>
      </w:r>
    </w:p>
    <w:p w:rsidR="006C0B40" w:rsidRPr="005833AE" w:rsidRDefault="006C0B40" w:rsidP="006C0B40">
      <w:pPr>
        <w:widowControl w:val="0"/>
        <w:numPr>
          <w:ilvl w:val="0"/>
          <w:numId w:val="3"/>
        </w:numPr>
        <w:adjustRightInd/>
        <w:snapToGrid/>
        <w:spacing w:after="0" w:line="44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原子氧舱加速器屏蔽门本地控制接入安全联锁系统的接口配合；</w:t>
      </w:r>
    </w:p>
    <w:p w:rsidR="006C0B40" w:rsidRPr="005833AE" w:rsidRDefault="006C0B40" w:rsidP="006C0B40">
      <w:pPr>
        <w:widowControl w:val="0"/>
        <w:numPr>
          <w:ilvl w:val="2"/>
          <w:numId w:val="1"/>
        </w:numPr>
        <w:adjustRightInd/>
        <w:snapToGrid/>
        <w:spacing w:after="0" w:line="44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与综合系统的接口、协调及要求</w:t>
      </w:r>
    </w:p>
    <w:p w:rsidR="006C0B40" w:rsidRPr="005833AE" w:rsidRDefault="006C0B40" w:rsidP="006C0B40">
      <w:pPr>
        <w:widowControl w:val="0"/>
        <w:numPr>
          <w:ilvl w:val="0"/>
          <w:numId w:val="4"/>
        </w:numPr>
        <w:adjustRightInd/>
        <w:snapToGrid/>
        <w:spacing w:after="0" w:line="44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系统级综合辐照舱南边辐射防护大门本地控制接入安全联锁系统的接口配合；</w:t>
      </w:r>
    </w:p>
    <w:p w:rsidR="006C0B40" w:rsidRPr="005833AE" w:rsidRDefault="006C0B40" w:rsidP="006C0B40">
      <w:pPr>
        <w:widowControl w:val="0"/>
        <w:numPr>
          <w:ilvl w:val="0"/>
          <w:numId w:val="4"/>
        </w:numPr>
        <w:adjustRightInd/>
        <w:snapToGrid/>
        <w:spacing w:after="0" w:line="44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高速粉尘舱接入安全联锁系统的接口配合。</w:t>
      </w:r>
    </w:p>
    <w:p w:rsidR="006C0B40" w:rsidRPr="005833AE" w:rsidRDefault="006C0B40" w:rsidP="006C0B40">
      <w:pPr>
        <w:widowControl w:val="0"/>
        <w:numPr>
          <w:ilvl w:val="2"/>
          <w:numId w:val="1"/>
        </w:numPr>
        <w:adjustRightInd/>
        <w:snapToGrid/>
        <w:spacing w:after="0" w:line="44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与中央监控系统的接口、协调及要求</w:t>
      </w:r>
    </w:p>
    <w:p w:rsidR="006C0B40" w:rsidRPr="005833AE" w:rsidRDefault="006C0B40" w:rsidP="006C0B40">
      <w:pPr>
        <w:widowControl w:val="0"/>
        <w:adjustRightInd/>
        <w:snapToGrid/>
        <w:spacing w:after="0" w:line="44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辐射监测与安全联锁系统和中央监控系统之间的架构关系如图6所示，投标方须与中央监控系统负责人对接的内容（包括但不限于）如下：</w:t>
      </w:r>
    </w:p>
    <w:p w:rsidR="006C0B40" w:rsidRPr="005833AE" w:rsidRDefault="006C0B40" w:rsidP="006C0B40">
      <w:pPr>
        <w:widowControl w:val="0"/>
        <w:numPr>
          <w:ilvl w:val="0"/>
          <w:numId w:val="5"/>
        </w:numPr>
        <w:adjustRightInd/>
        <w:snapToGrid/>
        <w:spacing w:after="0" w:line="44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辐射监测与安全联锁系统向中央监控系统传输以下6类数据：1. 区域监测数据；2. 安全联锁数据；3. 视频数据；4. 人员个人剂量数据；5. 音频播放；6. 人员权限管理。其中，1-3项数据是实时上传数据；第4，6项数据不是实时上传数据。1，2，4，6项数据应按中央监控系统制定的统一数据模型、并通过OPC UA（必选）和Modbus/TCP（可选）协议进行传输；3，5项数据按视频、音频相关标准进行传输。由于都是安全数据，中央监控系统没有修改权限。数据传输是单向的，中央监控系统不能干扰辐射防护系统工作的独立性。</w:t>
      </w:r>
    </w:p>
    <w:p w:rsidR="006C0B40" w:rsidRPr="005833AE" w:rsidRDefault="006C0B40" w:rsidP="006C0B40">
      <w:pPr>
        <w:widowControl w:val="0"/>
        <w:numPr>
          <w:ilvl w:val="0"/>
          <w:numId w:val="5"/>
        </w:numPr>
        <w:adjustRightInd/>
        <w:snapToGrid/>
        <w:spacing w:after="0" w:line="44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系统之间的接口种类和数量；</w:t>
      </w:r>
    </w:p>
    <w:p w:rsidR="006C0B40" w:rsidRPr="005833AE" w:rsidRDefault="006C0B40" w:rsidP="006C0B40">
      <w:pPr>
        <w:widowControl w:val="0"/>
        <w:numPr>
          <w:ilvl w:val="0"/>
          <w:numId w:val="5"/>
        </w:numPr>
        <w:adjustRightInd/>
        <w:snapToGrid/>
        <w:spacing w:after="0" w:line="44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两系统之间数据传输的链路、数据模型、通信协议及其可靠性；</w:t>
      </w:r>
    </w:p>
    <w:p w:rsidR="006C0B40" w:rsidRPr="005833AE" w:rsidRDefault="006C0B40" w:rsidP="006C0B40">
      <w:pPr>
        <w:widowControl w:val="0"/>
        <w:numPr>
          <w:ilvl w:val="0"/>
          <w:numId w:val="5"/>
        </w:numPr>
        <w:adjustRightInd/>
        <w:snapToGrid/>
        <w:spacing w:after="0" w:line="44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两系统在涉及人员管理、安全联锁过程管理、报警、放射性废物管理等方面的授权关系及管理逻辑；</w:t>
      </w:r>
    </w:p>
    <w:p w:rsidR="006C0B40" w:rsidRPr="005833AE" w:rsidRDefault="006C0B40" w:rsidP="006C0B40">
      <w:pPr>
        <w:widowControl w:val="0"/>
        <w:numPr>
          <w:ilvl w:val="0"/>
          <w:numId w:val="5"/>
        </w:numPr>
        <w:adjustRightInd/>
        <w:snapToGrid/>
        <w:spacing w:after="0" w:line="44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两系统在数据存储、显示、调用、数据安全等方面所采取的措施；</w:t>
      </w:r>
    </w:p>
    <w:p w:rsidR="006C0B40" w:rsidRPr="005833AE" w:rsidRDefault="006C0B40" w:rsidP="006C0B40">
      <w:pPr>
        <w:widowControl w:val="0"/>
        <w:numPr>
          <w:ilvl w:val="0"/>
          <w:numId w:val="5"/>
        </w:numPr>
        <w:adjustRightInd/>
        <w:snapToGrid/>
        <w:spacing w:after="0" w:line="44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中央监控系统在各加速器厅及靶室均设置有摄像头以对设备进行可视化监控，为增强辐射安全联锁系统管理过程的可视化操作，各加速器厅及靶厅的摄像头需与各联锁门外的视频监控摄像头一起组成完整的视频监控系统，以便操作员可以直观地观察各厅内的人员活动状况、检查重点部位的设备运行情况。</w:t>
      </w:r>
    </w:p>
    <w:p w:rsidR="006C0B40" w:rsidRPr="005833AE" w:rsidRDefault="006C0B40" w:rsidP="006C0B40">
      <w:pPr>
        <w:widowControl w:val="0"/>
        <w:adjustRightInd/>
        <w:snapToGrid/>
        <w:spacing w:after="0"/>
        <w:ind w:firstLineChars="200" w:firstLine="420"/>
        <w:jc w:val="center"/>
        <w:rPr>
          <w:rFonts w:ascii="宋体" w:eastAsia="宋体" w:hAnsi="宋体" w:cs="宋体"/>
          <w:kern w:val="2"/>
          <w:sz w:val="24"/>
          <w:szCs w:val="24"/>
        </w:rPr>
      </w:pPr>
      <w:r w:rsidRPr="005833AE">
        <w:rPr>
          <w:rFonts w:ascii="宋体" w:eastAsia="宋体" w:hAnsi="宋体" w:cs="宋体" w:hint="eastAsia"/>
          <w:noProof/>
          <w:kern w:val="2"/>
          <w:sz w:val="21"/>
          <w:szCs w:val="24"/>
        </w:rPr>
        <w:drawing>
          <wp:inline distT="0" distB="0" distL="0" distR="0">
            <wp:extent cx="2457450" cy="2489200"/>
            <wp:effectExtent l="0" t="0" r="0" b="635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461152" cy="2492486"/>
                    </a:xfrm>
                    <a:prstGeom prst="rect">
                      <a:avLst/>
                    </a:prstGeom>
                    <a:noFill/>
                  </pic:spPr>
                </pic:pic>
              </a:graphicData>
            </a:graphic>
          </wp:inline>
        </w:drawing>
      </w:r>
    </w:p>
    <w:p w:rsidR="006C0B40" w:rsidRPr="005833AE" w:rsidRDefault="006C0B40" w:rsidP="006C0B40">
      <w:pPr>
        <w:widowControl w:val="0"/>
        <w:adjustRightInd/>
        <w:snapToGrid/>
        <w:spacing w:after="0"/>
        <w:ind w:firstLineChars="200" w:firstLine="480"/>
        <w:jc w:val="center"/>
        <w:rPr>
          <w:rFonts w:ascii="宋体" w:eastAsia="宋体" w:hAnsi="宋体" w:cs="宋体"/>
          <w:kern w:val="2"/>
          <w:sz w:val="24"/>
          <w:szCs w:val="24"/>
        </w:rPr>
      </w:pPr>
      <w:r w:rsidRPr="005833AE">
        <w:rPr>
          <w:rFonts w:ascii="宋体" w:eastAsia="宋体" w:hAnsi="宋体" w:cs="宋体" w:hint="eastAsia"/>
          <w:kern w:val="2"/>
          <w:sz w:val="24"/>
          <w:szCs w:val="24"/>
        </w:rPr>
        <w:t>图6辐射监测与安全联锁系统和中央监控系统之间的架构关系图</w:t>
      </w:r>
    </w:p>
    <w:p w:rsidR="006C0B40" w:rsidRPr="005833AE" w:rsidRDefault="006C0B40" w:rsidP="006C0B40">
      <w:pPr>
        <w:widowControl w:val="0"/>
        <w:numPr>
          <w:ilvl w:val="2"/>
          <w:numId w:val="1"/>
        </w:numPr>
        <w:adjustRightInd/>
        <w:snapToGrid/>
        <w:spacing w:after="0" w:line="44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与基建的接口、协调及要求</w:t>
      </w:r>
    </w:p>
    <w:p w:rsidR="006C0B40" w:rsidRPr="005833AE" w:rsidRDefault="006C0B40" w:rsidP="006C0B40">
      <w:pPr>
        <w:widowControl w:val="0"/>
        <w:spacing w:after="0" w:line="46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（1）本项目迷宫通道屏蔽门安装在低能区各控制区迷宫通道出口处，见图7所示（具体以招标方建筑施工图为准），各迷宫通道出口分别标号为：</w:t>
      </w:r>
    </w:p>
    <w:p w:rsidR="006C0B40" w:rsidRPr="005833AE" w:rsidRDefault="006C0B40" w:rsidP="006C0B40">
      <w:pPr>
        <w:widowControl w:val="0"/>
        <w:adjustRightInd/>
        <w:snapToGrid/>
        <w:spacing w:after="0" w:line="46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串列大厅迷宫出口：1#；10MeV电子辐照终端迷宫出口：2#；系统级综合辐照舱一楼迷宫出口：3#；材料质子/电子辐照舱迷宫出口：4#；器件微束辐照终端迷宫出口：5#；系统级综合辐照舱二楼迷宫出口：6#；生物微束辐照终端迷宫出口：7#；原子氧/辐射综合辐照舱房间出口：8#；月尘舱铅房出口：9#。</w:t>
      </w:r>
    </w:p>
    <w:p w:rsidR="006C0B40" w:rsidRPr="005833AE" w:rsidRDefault="006C0B40" w:rsidP="006C0B40">
      <w:pPr>
        <w:widowControl w:val="0"/>
        <w:adjustRightInd/>
        <w:snapToGrid/>
        <w:spacing w:after="0" w:line="46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投标人在设计及施工时，需充分考虑图中的基建安装条件；</w:t>
      </w:r>
    </w:p>
    <w:p w:rsidR="006C0B40" w:rsidRPr="005833AE" w:rsidRDefault="006C0B40" w:rsidP="006C0B40">
      <w:pPr>
        <w:widowControl w:val="0"/>
        <w:spacing w:after="0" w:line="460" w:lineRule="exact"/>
        <w:ind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（2）根据门体重量所需要的承载结构需要，1# - 5#迷宫通道出口处均预埋有钢板，见图8-图12所示，投标人需依据预埋钢板的位置和预埋精度充分考虑屏蔽门的设计和施工方案。图13所示为月尘舱铅房出口屏蔽门接口示意图，投标人需依据铅房门口位置、结构和精度充分考虑屏蔽门的设计和施工方案。</w:t>
      </w:r>
    </w:p>
    <w:p w:rsidR="006C0B40" w:rsidRPr="005833AE" w:rsidRDefault="006C0B40" w:rsidP="006C0B40">
      <w:pPr>
        <w:widowControl w:val="0"/>
        <w:spacing w:after="0" w:line="46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（3）若因投标人原因导致项目建设费用增加，费用由投标人承担。</w:t>
      </w:r>
    </w:p>
    <w:p w:rsidR="006C0B40" w:rsidRPr="005833AE" w:rsidRDefault="006C0B40" w:rsidP="006C0B40">
      <w:pPr>
        <w:adjustRightInd/>
        <w:snapToGrid/>
        <w:spacing w:after="0"/>
        <w:jc w:val="center"/>
        <w:rPr>
          <w:rFonts w:ascii="Times New Roman" w:eastAsia="仿宋" w:hAnsi="Times New Roman" w:cs="Times New Roman"/>
          <w:b/>
          <w:u w:val="thick"/>
          <w:lang w:eastAsia="en-US" w:bidi="en-US"/>
        </w:rPr>
      </w:pPr>
      <w:r w:rsidRPr="005833AE">
        <w:rPr>
          <w:rFonts w:ascii="Calibri" w:eastAsia="宋体" w:hAnsi="Calibri" w:cs="Times New Roman"/>
          <w:noProof/>
        </w:rPr>
        <w:drawing>
          <wp:inline distT="0" distB="0" distL="0" distR="0">
            <wp:extent cx="6201410" cy="4300220"/>
            <wp:effectExtent l="0" t="0" r="8890" b="508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5700" t="2863" r="12946" b="6439"/>
                    <a:stretch>
                      <a:fillRect/>
                    </a:stretch>
                  </pic:blipFill>
                  <pic:spPr>
                    <a:xfrm>
                      <a:off x="0" y="0"/>
                      <a:ext cx="6209712" cy="4306002"/>
                    </a:xfrm>
                    <a:prstGeom prst="rect">
                      <a:avLst/>
                    </a:prstGeom>
                    <a:noFill/>
                    <a:ln>
                      <a:noFill/>
                    </a:ln>
                  </pic:spPr>
                </pic:pic>
              </a:graphicData>
            </a:graphic>
          </wp:inline>
        </w:drawing>
      </w:r>
    </w:p>
    <w:p w:rsidR="006C0B40" w:rsidRPr="005833AE" w:rsidRDefault="006C0B40" w:rsidP="006C0B40">
      <w:pPr>
        <w:adjustRightInd/>
        <w:snapToGrid/>
        <w:spacing w:after="0"/>
        <w:jc w:val="center"/>
        <w:rPr>
          <w:rFonts w:ascii="宋体" w:eastAsia="宋体" w:hAnsi="宋体" w:cs="宋体"/>
          <w:kern w:val="2"/>
          <w:sz w:val="24"/>
          <w:szCs w:val="24"/>
          <w:lang w:eastAsia="en-US" w:bidi="en-US"/>
        </w:rPr>
      </w:pPr>
      <w:r w:rsidRPr="005833AE">
        <w:rPr>
          <w:rFonts w:ascii="宋体" w:eastAsia="宋体" w:hAnsi="宋体" w:cs="宋体" w:hint="eastAsia"/>
          <w:kern w:val="2"/>
          <w:sz w:val="24"/>
          <w:szCs w:val="24"/>
          <w:lang w:eastAsia="en-US" w:bidi="en-US"/>
        </w:rPr>
        <w:t>图7低能区各加速器厅/靶厅迷宫通道出口分布图</w:t>
      </w:r>
    </w:p>
    <w:p w:rsidR="006C0B40" w:rsidRPr="005833AE" w:rsidRDefault="006C0B40" w:rsidP="006C0B40">
      <w:pPr>
        <w:adjustRightInd/>
        <w:snapToGrid/>
        <w:spacing w:after="0"/>
        <w:jc w:val="center"/>
        <w:rPr>
          <w:rFonts w:ascii="Times New Roman" w:eastAsia="仿宋" w:hAnsi="Times New Roman" w:cs="Times New Roman"/>
          <w:b/>
          <w:u w:val="thick"/>
          <w:lang w:eastAsia="en-US" w:bidi="en-US"/>
        </w:rPr>
      </w:pPr>
      <w:r w:rsidRPr="005833AE">
        <w:rPr>
          <w:rFonts w:ascii="Calibri" w:eastAsia="宋体" w:hAnsi="Calibri" w:cs="Times New Roman"/>
          <w:noProof/>
        </w:rPr>
        <w:drawing>
          <wp:inline distT="0" distB="0" distL="0" distR="0">
            <wp:extent cx="2989580" cy="2601595"/>
            <wp:effectExtent l="0" t="0" r="1270" b="8255"/>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stretch>
                      <a:fillRect/>
                    </a:stretch>
                  </pic:blipFill>
                  <pic:spPr>
                    <a:xfrm>
                      <a:off x="0" y="0"/>
                      <a:ext cx="2994950" cy="2606368"/>
                    </a:xfrm>
                    <a:prstGeom prst="rect">
                      <a:avLst/>
                    </a:prstGeom>
                  </pic:spPr>
                </pic:pic>
              </a:graphicData>
            </a:graphic>
          </wp:inline>
        </w:drawing>
      </w:r>
    </w:p>
    <w:p w:rsidR="006C0B40" w:rsidRPr="005833AE" w:rsidRDefault="006C0B40" w:rsidP="006C0B40">
      <w:pPr>
        <w:adjustRightInd/>
        <w:snapToGrid/>
        <w:spacing w:after="0"/>
        <w:jc w:val="center"/>
        <w:rPr>
          <w:rFonts w:ascii="宋体" w:eastAsia="宋体" w:hAnsi="宋体" w:cs="宋体"/>
          <w:kern w:val="2"/>
          <w:sz w:val="24"/>
          <w:szCs w:val="24"/>
          <w:lang w:eastAsia="en-US" w:bidi="en-US"/>
        </w:rPr>
      </w:pPr>
      <w:r w:rsidRPr="005833AE">
        <w:rPr>
          <w:rFonts w:ascii="宋体" w:eastAsia="宋体" w:hAnsi="宋体" w:cs="宋体" w:hint="eastAsia"/>
          <w:kern w:val="2"/>
          <w:sz w:val="24"/>
          <w:szCs w:val="24"/>
          <w:lang w:eastAsia="en-US" w:bidi="en-US"/>
        </w:rPr>
        <w:t>图8 串列加速器大厅屏蔽门预埋件预埋接口图</w:t>
      </w:r>
    </w:p>
    <w:p w:rsidR="006C0B40" w:rsidRPr="005833AE" w:rsidRDefault="006C0B40" w:rsidP="006C0B40">
      <w:pPr>
        <w:adjustRightInd/>
        <w:snapToGrid/>
        <w:spacing w:after="0"/>
        <w:jc w:val="center"/>
        <w:rPr>
          <w:rFonts w:ascii="Times New Roman" w:eastAsia="仿宋" w:hAnsi="Times New Roman" w:cs="Times New Roman"/>
          <w:b/>
          <w:u w:val="thick"/>
          <w:lang w:eastAsia="en-US" w:bidi="en-US"/>
        </w:rPr>
      </w:pPr>
      <w:r w:rsidRPr="005833AE">
        <w:rPr>
          <w:rFonts w:ascii="Calibri" w:eastAsia="宋体" w:hAnsi="Calibri" w:cs="Times New Roman"/>
          <w:noProof/>
        </w:rPr>
        <w:drawing>
          <wp:inline distT="0" distB="0" distL="0" distR="0">
            <wp:extent cx="3593465" cy="2016125"/>
            <wp:effectExtent l="0" t="0" r="6985" b="317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stretch>
                      <a:fillRect/>
                    </a:stretch>
                  </pic:blipFill>
                  <pic:spPr>
                    <a:xfrm>
                      <a:off x="0" y="0"/>
                      <a:ext cx="3597649" cy="2018681"/>
                    </a:xfrm>
                    <a:prstGeom prst="rect">
                      <a:avLst/>
                    </a:prstGeom>
                  </pic:spPr>
                </pic:pic>
              </a:graphicData>
            </a:graphic>
          </wp:inline>
        </w:drawing>
      </w:r>
    </w:p>
    <w:p w:rsidR="006C0B40" w:rsidRPr="005833AE" w:rsidRDefault="006C0B40" w:rsidP="006C0B40">
      <w:pPr>
        <w:adjustRightInd/>
        <w:snapToGrid/>
        <w:spacing w:after="0"/>
        <w:jc w:val="center"/>
        <w:rPr>
          <w:rFonts w:ascii="Times New Roman" w:eastAsia="仿宋" w:hAnsi="Times New Roman" w:cs="Times New Roman"/>
          <w:kern w:val="2"/>
          <w:sz w:val="24"/>
          <w:szCs w:val="24"/>
          <w:lang w:eastAsia="en-US" w:bidi="en-US"/>
        </w:rPr>
      </w:pPr>
      <w:r w:rsidRPr="005833AE">
        <w:rPr>
          <w:rFonts w:ascii="宋体" w:eastAsia="宋体" w:hAnsi="宋体" w:cs="宋体" w:hint="eastAsia"/>
          <w:kern w:val="2"/>
          <w:sz w:val="24"/>
          <w:szCs w:val="24"/>
          <w:lang w:eastAsia="en-US" w:bidi="en-US"/>
        </w:rPr>
        <w:t>图9 10MeV电子辐照终端屏蔽门预埋件预埋接口图</w:t>
      </w:r>
    </w:p>
    <w:p w:rsidR="006C0B40" w:rsidRPr="005833AE" w:rsidRDefault="006C0B40" w:rsidP="006C0B40">
      <w:pPr>
        <w:adjustRightInd/>
        <w:snapToGrid/>
        <w:spacing w:after="0"/>
        <w:jc w:val="center"/>
        <w:rPr>
          <w:rFonts w:ascii="Times New Roman" w:eastAsia="仿宋" w:hAnsi="Times New Roman" w:cs="Times New Roman"/>
          <w:b/>
          <w:u w:val="thick"/>
          <w:lang w:eastAsia="en-US" w:bidi="en-US"/>
        </w:rPr>
      </w:pPr>
      <w:r w:rsidRPr="005833AE">
        <w:rPr>
          <w:rFonts w:ascii="Calibri" w:eastAsia="宋体" w:hAnsi="Calibri" w:cs="Times New Roman"/>
          <w:noProof/>
        </w:rPr>
        <w:drawing>
          <wp:inline distT="0" distB="0" distL="0" distR="0">
            <wp:extent cx="3665220" cy="2236470"/>
            <wp:effectExtent l="0" t="0" r="11430" b="11430"/>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cstate="print"/>
                    <a:stretch>
                      <a:fillRect/>
                    </a:stretch>
                  </pic:blipFill>
                  <pic:spPr>
                    <a:xfrm>
                      <a:off x="0" y="0"/>
                      <a:ext cx="3666488" cy="2237661"/>
                    </a:xfrm>
                    <a:prstGeom prst="rect">
                      <a:avLst/>
                    </a:prstGeom>
                  </pic:spPr>
                </pic:pic>
              </a:graphicData>
            </a:graphic>
          </wp:inline>
        </w:drawing>
      </w:r>
    </w:p>
    <w:p w:rsidR="006C0B40" w:rsidRPr="005833AE" w:rsidRDefault="006C0B40" w:rsidP="006C0B40">
      <w:pPr>
        <w:adjustRightInd/>
        <w:snapToGrid/>
        <w:spacing w:after="0"/>
        <w:jc w:val="center"/>
        <w:rPr>
          <w:rFonts w:ascii="宋体" w:eastAsia="宋体" w:hAnsi="宋体" w:cs="宋体"/>
          <w:kern w:val="2"/>
          <w:sz w:val="24"/>
          <w:szCs w:val="24"/>
          <w:lang w:eastAsia="en-US" w:bidi="en-US"/>
        </w:rPr>
      </w:pPr>
      <w:r w:rsidRPr="005833AE">
        <w:rPr>
          <w:rFonts w:ascii="宋体" w:eastAsia="宋体" w:hAnsi="宋体" w:cs="宋体" w:hint="eastAsia"/>
          <w:kern w:val="2"/>
          <w:sz w:val="24"/>
          <w:szCs w:val="24"/>
          <w:lang w:eastAsia="en-US" w:bidi="en-US"/>
        </w:rPr>
        <w:t>图10 系统级综合辐照舱一楼屏蔽门预埋件预埋接口图</w:t>
      </w:r>
    </w:p>
    <w:p w:rsidR="006C0B40" w:rsidRPr="005833AE" w:rsidRDefault="006C0B40" w:rsidP="006C0B40">
      <w:pPr>
        <w:adjustRightInd/>
        <w:snapToGrid/>
        <w:spacing w:after="0"/>
        <w:jc w:val="center"/>
        <w:rPr>
          <w:rFonts w:ascii="Times New Roman" w:eastAsia="仿宋" w:hAnsi="Times New Roman" w:cs="Times New Roman"/>
          <w:b/>
          <w:u w:val="thick"/>
          <w:lang w:eastAsia="en-US" w:bidi="en-US"/>
        </w:rPr>
      </w:pPr>
      <w:r w:rsidRPr="005833AE">
        <w:rPr>
          <w:rFonts w:ascii="Calibri" w:eastAsia="宋体" w:hAnsi="Calibri" w:cs="Times New Roman"/>
          <w:noProof/>
        </w:rPr>
        <w:drawing>
          <wp:inline distT="0" distB="0" distL="0" distR="0">
            <wp:extent cx="3533775" cy="2409190"/>
            <wp:effectExtent l="0" t="0" r="9525" b="10160"/>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cstate="print"/>
                    <a:stretch>
                      <a:fillRect/>
                    </a:stretch>
                  </pic:blipFill>
                  <pic:spPr>
                    <a:xfrm>
                      <a:off x="0" y="0"/>
                      <a:ext cx="3545886" cy="2417278"/>
                    </a:xfrm>
                    <a:prstGeom prst="rect">
                      <a:avLst/>
                    </a:prstGeom>
                  </pic:spPr>
                </pic:pic>
              </a:graphicData>
            </a:graphic>
          </wp:inline>
        </w:drawing>
      </w:r>
    </w:p>
    <w:p w:rsidR="006C0B40" w:rsidRPr="005833AE" w:rsidRDefault="006C0B40" w:rsidP="006C0B40">
      <w:pPr>
        <w:adjustRightInd/>
        <w:snapToGrid/>
        <w:spacing w:after="0"/>
        <w:jc w:val="center"/>
        <w:rPr>
          <w:rFonts w:ascii="宋体" w:eastAsia="宋体" w:hAnsi="宋体" w:cs="宋体"/>
          <w:kern w:val="2"/>
          <w:sz w:val="24"/>
          <w:szCs w:val="24"/>
          <w:lang w:eastAsia="en-US" w:bidi="en-US"/>
        </w:rPr>
      </w:pPr>
      <w:r w:rsidRPr="005833AE">
        <w:rPr>
          <w:rFonts w:ascii="宋体" w:eastAsia="宋体" w:hAnsi="宋体" w:cs="宋体" w:hint="eastAsia"/>
          <w:kern w:val="2"/>
          <w:sz w:val="24"/>
          <w:szCs w:val="24"/>
          <w:lang w:eastAsia="en-US" w:bidi="en-US"/>
        </w:rPr>
        <w:t>图11 材料质子/电子综合辐照舱屏蔽门预埋件预埋接口图</w:t>
      </w:r>
    </w:p>
    <w:p w:rsidR="006C0B40" w:rsidRPr="005833AE" w:rsidRDefault="006C0B40" w:rsidP="006C0B40">
      <w:pPr>
        <w:adjustRightInd/>
        <w:snapToGrid/>
        <w:spacing w:after="0"/>
        <w:jc w:val="center"/>
        <w:rPr>
          <w:rFonts w:ascii="Times New Roman" w:eastAsia="仿宋" w:hAnsi="Times New Roman" w:cs="Times New Roman"/>
          <w:b/>
          <w:u w:val="thick"/>
          <w:lang w:eastAsia="en-US" w:bidi="en-US"/>
        </w:rPr>
      </w:pPr>
      <w:r w:rsidRPr="005833AE">
        <w:rPr>
          <w:rFonts w:ascii="Calibri" w:eastAsia="宋体" w:hAnsi="Calibri" w:cs="Times New Roman"/>
          <w:noProof/>
        </w:rPr>
        <w:drawing>
          <wp:inline distT="0" distB="0" distL="0" distR="0">
            <wp:extent cx="3959225" cy="2323465"/>
            <wp:effectExtent l="0" t="0" r="3175" b="635"/>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cstate="print"/>
                    <a:stretch>
                      <a:fillRect/>
                    </a:stretch>
                  </pic:blipFill>
                  <pic:spPr>
                    <a:xfrm>
                      <a:off x="0" y="0"/>
                      <a:ext cx="3968886" cy="2328965"/>
                    </a:xfrm>
                    <a:prstGeom prst="rect">
                      <a:avLst/>
                    </a:prstGeom>
                  </pic:spPr>
                </pic:pic>
              </a:graphicData>
            </a:graphic>
          </wp:inline>
        </w:drawing>
      </w:r>
    </w:p>
    <w:p w:rsidR="006C0B40" w:rsidRPr="005833AE" w:rsidRDefault="006C0B40" w:rsidP="006C0B40">
      <w:pPr>
        <w:adjustRightInd/>
        <w:snapToGrid/>
        <w:spacing w:after="0"/>
        <w:jc w:val="center"/>
        <w:rPr>
          <w:rFonts w:ascii="宋体" w:eastAsia="宋体" w:hAnsi="宋体" w:cs="宋体"/>
          <w:kern w:val="2"/>
          <w:sz w:val="24"/>
          <w:szCs w:val="24"/>
          <w:lang w:eastAsia="en-US" w:bidi="en-US"/>
        </w:rPr>
      </w:pPr>
      <w:r w:rsidRPr="005833AE">
        <w:rPr>
          <w:rFonts w:ascii="宋体" w:eastAsia="宋体" w:hAnsi="宋体" w:cs="宋体" w:hint="eastAsia"/>
          <w:kern w:val="2"/>
          <w:sz w:val="24"/>
          <w:szCs w:val="24"/>
          <w:lang w:eastAsia="en-US" w:bidi="en-US"/>
        </w:rPr>
        <w:t>图12 器件微束终端屏蔽门预埋件预埋接口图</w:t>
      </w:r>
    </w:p>
    <w:p w:rsidR="006C0B40" w:rsidRPr="005833AE" w:rsidRDefault="006C0B40" w:rsidP="006C0B40">
      <w:pPr>
        <w:adjustRightInd/>
        <w:snapToGrid/>
        <w:spacing w:after="0"/>
        <w:jc w:val="center"/>
        <w:rPr>
          <w:rFonts w:ascii="Times New Roman" w:eastAsia="仿宋" w:hAnsi="Times New Roman" w:cs="Times New Roman"/>
          <w:kern w:val="2"/>
          <w:sz w:val="24"/>
          <w:szCs w:val="24"/>
          <w:lang w:eastAsia="en-US" w:bidi="en-US"/>
        </w:rPr>
      </w:pPr>
    </w:p>
    <w:p w:rsidR="006C0B40" w:rsidRPr="005833AE" w:rsidRDefault="006C0B40" w:rsidP="006C0B40">
      <w:pPr>
        <w:adjustRightInd/>
        <w:snapToGrid/>
        <w:spacing w:after="0"/>
        <w:jc w:val="center"/>
        <w:rPr>
          <w:rFonts w:ascii="Times New Roman" w:eastAsia="仿宋" w:hAnsi="Times New Roman" w:cs="Times New Roman"/>
          <w:kern w:val="2"/>
          <w:sz w:val="24"/>
          <w:szCs w:val="24"/>
          <w:lang w:eastAsia="en-US" w:bidi="en-US"/>
        </w:rPr>
      </w:pPr>
      <w:r w:rsidRPr="005833AE">
        <w:rPr>
          <w:rFonts w:ascii="Times New Roman" w:eastAsia="仿宋" w:hAnsi="Times New Roman" w:cs="Times New Roman"/>
          <w:noProof/>
          <w:kern w:val="2"/>
          <w:sz w:val="24"/>
          <w:szCs w:val="24"/>
        </w:rPr>
        <w:drawing>
          <wp:inline distT="0" distB="0" distL="0" distR="0">
            <wp:extent cx="3105785" cy="2926080"/>
            <wp:effectExtent l="0" t="0" r="18415" b="7620"/>
            <wp:docPr id="39" name="图片 6" descr="C:\Users\Ruff\AppData\Local\Temp\15986052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Ruff\AppData\Local\Temp\1598605203(1).png"/>
                    <pic:cNvPicPr>
                      <a:picLocks noChangeAspect="1" noChangeArrowheads="1"/>
                    </pic:cNvPicPr>
                  </pic:nvPicPr>
                  <pic:blipFill>
                    <a:blip r:embed="rId1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109052" cy="2928699"/>
                    </a:xfrm>
                    <a:prstGeom prst="rect">
                      <a:avLst/>
                    </a:prstGeom>
                    <a:noFill/>
                    <a:ln>
                      <a:noFill/>
                    </a:ln>
                  </pic:spPr>
                </pic:pic>
              </a:graphicData>
            </a:graphic>
          </wp:inline>
        </w:drawing>
      </w:r>
    </w:p>
    <w:p w:rsidR="006C0B40" w:rsidRPr="005833AE" w:rsidRDefault="006C0B40" w:rsidP="006C0B40">
      <w:pPr>
        <w:adjustRightInd/>
        <w:snapToGrid/>
        <w:spacing w:after="0"/>
        <w:jc w:val="center"/>
        <w:rPr>
          <w:rFonts w:ascii="宋体" w:eastAsia="宋体" w:hAnsi="宋体" w:cs="宋体"/>
          <w:kern w:val="2"/>
          <w:sz w:val="24"/>
          <w:szCs w:val="24"/>
          <w:lang w:eastAsia="en-US" w:bidi="en-US"/>
        </w:rPr>
      </w:pPr>
      <w:r w:rsidRPr="005833AE">
        <w:rPr>
          <w:rFonts w:ascii="宋体" w:eastAsia="宋体" w:hAnsi="宋体" w:cs="宋体" w:hint="eastAsia"/>
          <w:kern w:val="2"/>
          <w:sz w:val="24"/>
          <w:szCs w:val="24"/>
          <w:lang w:eastAsia="en-US" w:bidi="en-US"/>
        </w:rPr>
        <w:t>图13 月尘舱铅房屏蔽门接口图</w:t>
      </w:r>
    </w:p>
    <w:p w:rsidR="006C0B40" w:rsidRPr="005833AE" w:rsidRDefault="006C0B40" w:rsidP="006C0B40">
      <w:pPr>
        <w:widowControl w:val="0"/>
        <w:numPr>
          <w:ilvl w:val="1"/>
          <w:numId w:val="1"/>
        </w:numPr>
        <w:adjustRightInd/>
        <w:snapToGrid/>
        <w:spacing w:after="0" w:line="44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设备1-n的设计图纸要求</w:t>
      </w:r>
    </w:p>
    <w:p w:rsidR="006C0B40" w:rsidRPr="005833AE" w:rsidRDefault="006C0B40" w:rsidP="006C0B40">
      <w:pPr>
        <w:widowControl w:val="0"/>
        <w:spacing w:after="0" w:line="46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机械工程图纸及技术文件应符合以下国家标准的要求（不限于此）：</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GB/T14689、GB/T14690、GB/4458、GB/4459、GB/T131、GB/T4460《机械制图》系列标准；</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GB10609 《技术制图》系列标准；</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GB/T1182《形状和位置公差图样表示方法》；</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GB/T4656《金属结构件表示法》；</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GB/T324 《焊接符号表示法》；</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GB/T5185《金属焊接及钎焊方法在图样上的表示代号》。</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其他相关标准依据标准化部所识别的标准进行采标。</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电气图纸及技术文件应符合以下国家标准的要求（不限于此）：</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GB/T 6988《电气制图》系列标准；</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GB/T 5465《电气设备用图形符号》系列标准；</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GB/T 4728《电气简图用图形符号》系列标准；</w:t>
      </w:r>
    </w:p>
    <w:p w:rsidR="006C0B40" w:rsidRPr="005833AE" w:rsidRDefault="006C0B40" w:rsidP="006C0B40">
      <w:pPr>
        <w:widowControl w:val="0"/>
        <w:numPr>
          <w:ilvl w:val="1"/>
          <w:numId w:val="1"/>
        </w:numPr>
        <w:adjustRightInd/>
        <w:snapToGrid/>
        <w:spacing w:after="0" w:line="44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 xml:space="preserve"> 设备1-n采用的标准及规范</w:t>
      </w:r>
    </w:p>
    <w:p w:rsidR="006C0B40" w:rsidRPr="005833AE" w:rsidRDefault="006C0B40" w:rsidP="006C0B40">
      <w:pPr>
        <w:adjustRightInd/>
        <w:snapToGrid/>
        <w:spacing w:after="0"/>
        <w:ind w:firstLineChars="200" w:firstLine="480"/>
        <w:rPr>
          <w:rFonts w:ascii="宋体" w:eastAsia="宋体" w:hAnsi="宋体" w:cs="宋体"/>
          <w:kern w:val="2"/>
          <w:sz w:val="24"/>
          <w:szCs w:val="24"/>
          <w:lang w:eastAsia="en-US" w:bidi="en-US"/>
        </w:rPr>
      </w:pPr>
      <w:r w:rsidRPr="005833AE">
        <w:rPr>
          <w:rFonts w:ascii="宋体" w:eastAsia="宋体" w:hAnsi="宋体" w:cs="宋体" w:hint="eastAsia"/>
          <w:kern w:val="2"/>
          <w:sz w:val="24"/>
          <w:szCs w:val="24"/>
          <w:lang w:eastAsia="en-US" w:bidi="en-US"/>
        </w:rPr>
        <w:t>3.4.1 辐射监测子系统与辐射安全联锁子系统采用的标准</w:t>
      </w:r>
      <w:r w:rsidRPr="005833AE">
        <w:rPr>
          <w:rFonts w:ascii="宋体" w:eastAsia="宋体" w:hAnsi="宋体" w:cs="宋体" w:hint="eastAsia"/>
          <w:sz w:val="24"/>
          <w:szCs w:val="24"/>
          <w:lang w:eastAsia="en-US" w:bidi="en-US"/>
        </w:rPr>
        <w:t>（不限于此）</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GB/T 4863-1985 机械制造工艺基本术语</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GB/T10610-1998 产品几何技术规范 表面结构 轮廓法评定表面结构的规则和方法</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GJB/Z 299B-1998 电子设备可靠性预计手册</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GB/T17624.1-1998 电磁兼容 综述 电磁兼容基本术语和定义的应用与解释</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GB/Z18039.1-2000 电磁兼容 环境 电磁环境的分类</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GB/T18268-2000 测量、控制和实验室用的电设备 电磁兼容性要求</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GB/T 8993-1998 核仪器环境条件和试验方法</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GB/T 10263-2006 核辐射探测器环境条件和试验方法</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GB/T13161-2015 辐射防护仪器，测量χγ中子和β辐射个人剂量当量 HP（10）和 HP（0.07）直读式个人剂量当量仪</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GB 50093-2002  自动化仪表工程施工及验收标准</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JB/T 5234工业控制计算机系统验收大纲</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HG/T 20507-2000 自动化仪表选型设计规定</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GB/T 3797-2005 电气控制设备</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GB4720－84    低压电器电控设备</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GBJ232-82   电气装置工程施工及验收范围</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IEC 61131（GB/T15969-95）</w:t>
      </w:r>
      <w:r w:rsidRPr="005833AE">
        <w:rPr>
          <w:rFonts w:ascii="宋体" w:eastAsia="宋体" w:hAnsi="宋体" w:cs="宋体" w:hint="eastAsia"/>
          <w:kern w:val="2"/>
          <w:sz w:val="24"/>
          <w:szCs w:val="24"/>
        </w:rPr>
        <w:tab/>
        <w:t>可编程控制器编程语言</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IEEE802.3TCP/IP   网络通讯协议</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GB/T 8567-2006 计算机软件文档编制规范</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IEC 61000-4-1-2006 电磁兼容性：试验和测量技术-抗扰度试验总论</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IEC 61000-4-2-2008 电磁兼容性：试验和测量技术-静电放电抗扰试验</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IEC 61000-4-3-2010 电磁兼容性：试验和测量技术-辐射、射频和电磁场抗扰性试验</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IEC 61000-4-5-2005 电磁兼容性：试验和测量技术 浪涌(冲击)抗扰度试验</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 xml:space="preserve">GB 18871-2002 电离辐射防护与辐射源安全基本标准 </w:t>
      </w:r>
    </w:p>
    <w:p w:rsidR="006C0B40" w:rsidRPr="005833AE" w:rsidRDefault="006C0B40" w:rsidP="006C0B40">
      <w:pPr>
        <w:widowControl w:val="0"/>
        <w:spacing w:after="0" w:line="460" w:lineRule="exact"/>
        <w:ind w:left="1320"/>
        <w:jc w:val="both"/>
        <w:rPr>
          <w:rFonts w:ascii="宋体" w:eastAsia="宋体" w:hAnsi="宋体" w:cs="宋体"/>
          <w:kern w:val="2"/>
          <w:sz w:val="24"/>
          <w:szCs w:val="24"/>
        </w:rPr>
      </w:pPr>
    </w:p>
    <w:p w:rsidR="006C0B40" w:rsidRPr="005833AE" w:rsidRDefault="006C0B40" w:rsidP="006C0B40">
      <w:pPr>
        <w:adjustRightInd/>
        <w:snapToGrid/>
        <w:spacing w:after="0"/>
        <w:ind w:firstLineChars="200" w:firstLine="480"/>
        <w:rPr>
          <w:rFonts w:ascii="宋体" w:eastAsia="宋体" w:hAnsi="宋体" w:cs="宋体"/>
          <w:kern w:val="2"/>
          <w:sz w:val="24"/>
          <w:szCs w:val="24"/>
          <w:lang w:eastAsia="en-US" w:bidi="en-US"/>
        </w:rPr>
      </w:pPr>
      <w:r w:rsidRPr="005833AE">
        <w:rPr>
          <w:rFonts w:ascii="宋体" w:eastAsia="宋体" w:hAnsi="宋体" w:cs="宋体" w:hint="eastAsia"/>
          <w:kern w:val="2"/>
          <w:sz w:val="24"/>
          <w:szCs w:val="24"/>
          <w:lang w:eastAsia="en-US" w:bidi="en-US"/>
        </w:rPr>
        <w:t>3.4.2 辐射屏蔽门采用的标准</w:t>
      </w:r>
      <w:r w:rsidRPr="005833AE">
        <w:rPr>
          <w:rFonts w:ascii="宋体" w:eastAsia="宋体" w:hAnsi="宋体" w:cs="宋体" w:hint="eastAsia"/>
          <w:sz w:val="24"/>
          <w:szCs w:val="24"/>
          <w:lang w:eastAsia="en-US" w:bidi="en-US"/>
        </w:rPr>
        <w:t>（不限于此）</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GB/T 699 优质碳素结构钢</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GB/T 700 碳素结构钢</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GB/T 1184 形状和位置公差 未注公差值</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GB/T 1470 铅及铅锑合金板</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GB/T 1804 一般公差 未注公差的线性和角度尺寸的公差</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GB/T 7633 门和卷帘的耐火试验方法</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GB/T 9439 灰铸铁件</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GB 12955 防火门</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GB 50009 建筑结构荷载规范</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GB 50010 混凝土结构设计规范</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GB 50017 钢结构设计规范</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GB 50205 钢结构工程施工质量验收规范</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GB 50661 钢结构焊接规范</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JG 160 混凝土用膨胀型、扩孔型建筑锚栓</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NB/T 20133.1 压水堆核电厂设施设备防护涂层规范 第 1 部分：通用要求</w:t>
      </w:r>
    </w:p>
    <w:p w:rsidR="006C0B40" w:rsidRPr="005833AE" w:rsidRDefault="006C0B40" w:rsidP="006C0B40">
      <w:pPr>
        <w:widowControl w:val="0"/>
        <w:spacing w:after="0" w:line="460" w:lineRule="exact"/>
        <w:ind w:left="1320"/>
        <w:jc w:val="both"/>
        <w:rPr>
          <w:rFonts w:ascii="宋体" w:eastAsia="宋体" w:hAnsi="宋体" w:cs="宋体"/>
          <w:kern w:val="2"/>
          <w:sz w:val="24"/>
          <w:szCs w:val="24"/>
        </w:rPr>
      </w:pPr>
    </w:p>
    <w:p w:rsidR="006C0B40" w:rsidRPr="005833AE" w:rsidRDefault="006C0B40" w:rsidP="006C0B40">
      <w:pPr>
        <w:adjustRightInd/>
        <w:snapToGrid/>
        <w:spacing w:after="0"/>
        <w:ind w:firstLineChars="200" w:firstLine="480"/>
        <w:rPr>
          <w:rFonts w:ascii="宋体" w:eastAsia="宋体" w:hAnsi="宋体" w:cs="宋体"/>
          <w:kern w:val="2"/>
          <w:sz w:val="24"/>
          <w:szCs w:val="24"/>
          <w:lang w:eastAsia="en-US" w:bidi="en-US"/>
        </w:rPr>
      </w:pPr>
      <w:r w:rsidRPr="005833AE">
        <w:rPr>
          <w:rFonts w:ascii="宋体" w:eastAsia="宋体" w:hAnsi="宋体" w:cs="宋体" w:hint="eastAsia"/>
          <w:kern w:val="2"/>
          <w:sz w:val="24"/>
          <w:szCs w:val="24"/>
          <w:lang w:eastAsia="en-US" w:bidi="en-US"/>
        </w:rPr>
        <w:t>3.4.3包装、运输、安全标准</w:t>
      </w:r>
      <w:r w:rsidRPr="005833AE">
        <w:rPr>
          <w:rFonts w:ascii="宋体" w:eastAsia="宋体" w:hAnsi="宋体" w:cs="宋体" w:hint="eastAsia"/>
          <w:sz w:val="24"/>
          <w:szCs w:val="24"/>
          <w:lang w:eastAsia="en-US" w:bidi="en-US"/>
        </w:rPr>
        <w:t>（不限于此）</w:t>
      </w:r>
      <w:r w:rsidRPr="005833AE">
        <w:rPr>
          <w:rFonts w:ascii="宋体" w:eastAsia="宋体" w:hAnsi="宋体" w:cs="宋体" w:hint="eastAsia"/>
          <w:kern w:val="2"/>
          <w:sz w:val="24"/>
          <w:szCs w:val="24"/>
          <w:lang w:eastAsia="en-US" w:bidi="en-US"/>
        </w:rPr>
        <w:t>：</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GB3538《运输包装件保部件的标示方法》</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GB191《包装储运图示标志》</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GJB145A《防护包装规范》</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GB/T13384《机电产品包装通技术条件》</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GB 4208《外壳防护等级（IP代码）》</w:t>
      </w:r>
    </w:p>
    <w:p w:rsidR="006C0B40" w:rsidRPr="005833AE" w:rsidRDefault="006C0B40" w:rsidP="006C0B40">
      <w:pPr>
        <w:widowControl w:val="0"/>
        <w:spacing w:after="0" w:line="460" w:lineRule="exact"/>
        <w:ind w:left="1320"/>
        <w:jc w:val="both"/>
        <w:rPr>
          <w:rFonts w:ascii="宋体" w:eastAsia="宋体" w:hAnsi="宋体" w:cs="宋体"/>
          <w:kern w:val="2"/>
          <w:sz w:val="24"/>
          <w:szCs w:val="24"/>
        </w:rPr>
      </w:pPr>
    </w:p>
    <w:p w:rsidR="006C0B40" w:rsidRPr="005833AE" w:rsidRDefault="006C0B40" w:rsidP="006C0B40">
      <w:pPr>
        <w:adjustRightInd/>
        <w:snapToGrid/>
        <w:spacing w:after="0" w:line="360" w:lineRule="auto"/>
        <w:ind w:firstLineChars="200" w:firstLine="480"/>
        <w:rPr>
          <w:rFonts w:ascii="宋体" w:eastAsia="宋体" w:hAnsi="宋体" w:cs="宋体"/>
          <w:kern w:val="2"/>
          <w:sz w:val="24"/>
          <w:szCs w:val="24"/>
          <w:lang w:eastAsia="en-US" w:bidi="en-US"/>
        </w:rPr>
      </w:pPr>
      <w:r w:rsidRPr="005833AE">
        <w:rPr>
          <w:rFonts w:ascii="宋体" w:eastAsia="宋体" w:hAnsi="宋体" w:cs="宋体" w:hint="eastAsia"/>
          <w:kern w:val="2"/>
          <w:sz w:val="24"/>
          <w:szCs w:val="24"/>
          <w:lang w:eastAsia="en-US" w:bidi="en-US"/>
        </w:rPr>
        <w:t>3.4.4 哈工大空间环境地面模拟装置规范</w:t>
      </w:r>
    </w:p>
    <w:p w:rsidR="006C0B40" w:rsidRPr="005833AE" w:rsidRDefault="006C0B40" w:rsidP="006C0B40">
      <w:pPr>
        <w:adjustRightInd/>
        <w:snapToGrid/>
        <w:spacing w:after="0" w:line="360" w:lineRule="auto"/>
        <w:ind w:firstLineChars="200" w:firstLine="480"/>
        <w:rPr>
          <w:rFonts w:ascii="宋体" w:eastAsia="宋体" w:hAnsi="宋体" w:cs="宋体"/>
          <w:kern w:val="2"/>
          <w:sz w:val="24"/>
          <w:szCs w:val="24"/>
          <w:lang w:eastAsia="en-US" w:bidi="en-US"/>
        </w:rPr>
      </w:pPr>
      <w:r w:rsidRPr="005833AE">
        <w:rPr>
          <w:rFonts w:ascii="宋体" w:eastAsia="宋体" w:hAnsi="宋体" w:cs="宋体" w:hint="eastAsia"/>
          <w:kern w:val="2"/>
          <w:sz w:val="24"/>
          <w:szCs w:val="24"/>
          <w:lang w:eastAsia="en-US" w:bidi="en-US"/>
        </w:rPr>
        <w:t>应遵循招标人在项目实施过程中陆续颁布的相关规范，如：</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空间环境地面模拟装置命名及编码规范</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空间环境地面模拟装置机柜机箱编号规范</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空间环境地面模拟装置线缆标识规范</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空间环境地面模拟装置机械系统图制图规范</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空间环境地面模拟装置文件编制规范</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空间环境地面模拟装置文件归档要求</w:t>
      </w:r>
    </w:p>
    <w:p w:rsidR="006C0B40" w:rsidRPr="005833AE" w:rsidRDefault="006C0B40" w:rsidP="006C0B40">
      <w:pPr>
        <w:widowControl w:val="0"/>
        <w:numPr>
          <w:ilvl w:val="0"/>
          <w:numId w:val="1"/>
        </w:numPr>
        <w:adjustRightInd/>
        <w:snapToGrid/>
        <w:spacing w:after="0" w:line="44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定制非标设备的实施计划</w:t>
      </w:r>
    </w:p>
    <w:p w:rsidR="006C0B40" w:rsidRPr="005833AE" w:rsidRDefault="006C0B40" w:rsidP="006C0B40">
      <w:pPr>
        <w:widowControl w:val="0"/>
        <w:adjustRightInd/>
        <w:snapToGrid/>
        <w:spacing w:after="0" w:line="440" w:lineRule="exact"/>
        <w:ind w:left="357"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对定制非标设备，实施计划分为详细设计阶段、加工制造阶段和现场安装调试及验收阶段。</w:t>
      </w:r>
    </w:p>
    <w:p w:rsidR="006C0B40" w:rsidRPr="005833AE" w:rsidRDefault="006C0B40" w:rsidP="006C0B40">
      <w:pPr>
        <w:widowControl w:val="0"/>
        <w:adjustRightInd/>
        <w:snapToGrid/>
        <w:spacing w:after="0" w:line="440" w:lineRule="exact"/>
        <w:ind w:left="357"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4.1</w:t>
      </w:r>
      <w:r w:rsidRPr="005833AE">
        <w:rPr>
          <w:rFonts w:ascii="宋体" w:eastAsia="宋体" w:hAnsi="宋体" w:cs="宋体" w:hint="eastAsia"/>
          <w:kern w:val="2"/>
          <w:sz w:val="24"/>
          <w:szCs w:val="24"/>
        </w:rPr>
        <w:tab/>
        <w:t>在合同签订后45个工作日内，投标人完成项目质量计划及实施方案的编制，并由投标人组织有招标人参加的评审，评审需经招标人认可通过。</w:t>
      </w:r>
    </w:p>
    <w:p w:rsidR="006C0B40" w:rsidRPr="005833AE" w:rsidRDefault="006C0B40" w:rsidP="006C0B40">
      <w:pPr>
        <w:widowControl w:val="0"/>
        <w:adjustRightInd/>
        <w:snapToGrid/>
        <w:spacing w:after="0" w:line="440" w:lineRule="exact"/>
        <w:ind w:left="357"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4.2</w:t>
      </w:r>
      <w:r w:rsidRPr="005833AE">
        <w:rPr>
          <w:rFonts w:ascii="宋体" w:eastAsia="宋体" w:hAnsi="宋体" w:cs="宋体" w:hint="eastAsia"/>
          <w:kern w:val="2"/>
          <w:sz w:val="24"/>
          <w:szCs w:val="24"/>
        </w:rPr>
        <w:tab/>
        <w:t>详细设计经招标人评审认可通过后，方可进入加工制造阶段。评审通过后15个工作日内，投标人需提交《详细设计报告》、《详细设计图纸》等相关文件最终版（见前文表1中文档类要求）。</w:t>
      </w:r>
    </w:p>
    <w:p w:rsidR="006C0B40" w:rsidRPr="005833AE" w:rsidRDefault="006C0B40" w:rsidP="006C0B40">
      <w:pPr>
        <w:widowControl w:val="0"/>
        <w:adjustRightInd/>
        <w:snapToGrid/>
        <w:spacing w:after="0" w:line="440" w:lineRule="exact"/>
        <w:ind w:left="357"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4.3</w:t>
      </w:r>
      <w:r w:rsidRPr="005833AE">
        <w:rPr>
          <w:rFonts w:ascii="宋体" w:eastAsia="宋体" w:hAnsi="宋体" w:cs="宋体" w:hint="eastAsia"/>
          <w:kern w:val="2"/>
          <w:sz w:val="24"/>
          <w:szCs w:val="24"/>
        </w:rPr>
        <w:tab/>
        <w:t>在加工制造前15个工作日内，投标人提交《工艺方案》，组织进行有招标人参加的工艺评审。工艺设计评审需经招标人认可通过。</w:t>
      </w:r>
    </w:p>
    <w:p w:rsidR="006C0B40" w:rsidRPr="005833AE" w:rsidRDefault="006C0B40" w:rsidP="006C0B40">
      <w:pPr>
        <w:widowControl w:val="0"/>
        <w:adjustRightInd/>
        <w:snapToGrid/>
        <w:spacing w:after="0" w:line="440" w:lineRule="exact"/>
        <w:ind w:left="357"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4.4</w:t>
      </w:r>
      <w:r w:rsidRPr="005833AE">
        <w:rPr>
          <w:rFonts w:ascii="宋体" w:eastAsia="宋体" w:hAnsi="宋体" w:cs="宋体" w:hint="eastAsia"/>
          <w:kern w:val="2"/>
          <w:sz w:val="24"/>
          <w:szCs w:val="24"/>
        </w:rPr>
        <w:tab/>
        <w:t>项目实施过程中应按照《实施方案》和《质量计划》的要求对质量控制点进行严格控制，并加以记录，即按照H/W/R点要求，严格控制全过程生产实施，若有设计或计划变更，投标人须按照招标人制定的《变更控制规范》执行，经招标人确认批准后方可实施，H点验收时产生的评审费用将由乙方负责。</w:t>
      </w:r>
    </w:p>
    <w:p w:rsidR="006C0B40" w:rsidRPr="005833AE" w:rsidRDefault="006C0B40" w:rsidP="006C0B40">
      <w:pPr>
        <w:widowControl w:val="0"/>
        <w:adjustRightInd/>
        <w:snapToGrid/>
        <w:spacing w:after="0" w:line="440" w:lineRule="exact"/>
        <w:ind w:left="357"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4.5现场安装及调试前30个工作日提交《现场安装及调试实施方案》，依据《现场安装及调试实施方案》和《验收大纲》（含相应的验收细则）进行调试和验收。</w:t>
      </w:r>
    </w:p>
    <w:p w:rsidR="006C0B40" w:rsidRPr="005833AE" w:rsidRDefault="006C0B40" w:rsidP="006C0B40">
      <w:pPr>
        <w:widowControl w:val="0"/>
        <w:adjustRightInd/>
        <w:snapToGrid/>
        <w:spacing w:after="0" w:line="440" w:lineRule="exact"/>
        <w:ind w:left="357"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4.6在项目实施阶段，具有中间过程记录，形成《中间过程控制记录》，在验收时一并提交。</w:t>
      </w:r>
    </w:p>
    <w:p w:rsidR="006C0B40" w:rsidRPr="005833AE" w:rsidRDefault="006C0B40" w:rsidP="006C0B40">
      <w:pPr>
        <w:widowControl w:val="0"/>
        <w:numPr>
          <w:ilvl w:val="0"/>
          <w:numId w:val="1"/>
        </w:numPr>
        <w:adjustRightInd/>
        <w:snapToGrid/>
        <w:spacing w:after="0" w:line="440" w:lineRule="exact"/>
        <w:jc w:val="both"/>
        <w:rPr>
          <w:rFonts w:ascii="宋体" w:eastAsia="宋体" w:hAnsi="宋体" w:cs="宋体"/>
          <w:kern w:val="2"/>
          <w:sz w:val="24"/>
          <w:szCs w:val="24"/>
        </w:rPr>
      </w:pPr>
      <w:r w:rsidRPr="005833AE">
        <w:rPr>
          <w:rFonts w:ascii="宋体" w:eastAsia="宋体" w:hAnsi="宋体" w:cs="宋体" w:hint="eastAsia"/>
          <w:kern w:val="2"/>
          <w:sz w:val="24"/>
          <w:szCs w:val="24"/>
        </w:rPr>
        <w:t>非标定制设备出厂书面文件等要求</w:t>
      </w:r>
    </w:p>
    <w:p w:rsidR="006C0B40" w:rsidRPr="005833AE" w:rsidRDefault="006C0B40" w:rsidP="006C0B40">
      <w:pPr>
        <w:widowControl w:val="0"/>
        <w:adjustRightInd/>
        <w:snapToGrid/>
        <w:spacing w:after="0" w:line="440" w:lineRule="exact"/>
        <w:ind w:left="357"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应交付文件包括但不限于：</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产品清单、用户手册、 操作手册、维护手册、产品履历书；</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产品检验合格证书：每台设备应携带一份检验合格证书，包含但不限于如下信息：探测器类型和规格、整台监测设备的重量和尺寸、校准所用的参考源和标定系数、能量测量范围内响应随探测射线能量的变化、仪器对光子或β/n 辐射的响应等；</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检测报告：提供合格证书中相关标定或测试结果的检测报告或证书。</w:t>
      </w:r>
    </w:p>
    <w:p w:rsidR="006C0B40" w:rsidRPr="005833AE" w:rsidRDefault="006C0B40" w:rsidP="006C0B40">
      <w:pPr>
        <w:widowControl w:val="0"/>
        <w:adjustRightInd/>
        <w:snapToGrid/>
        <w:spacing w:after="0" w:line="440" w:lineRule="exact"/>
        <w:ind w:left="357" w:firstLineChars="200" w:firstLine="480"/>
        <w:jc w:val="both"/>
        <w:rPr>
          <w:rFonts w:ascii="宋体" w:eastAsia="宋体" w:hAnsi="宋体" w:cs="宋体"/>
          <w:kern w:val="2"/>
          <w:sz w:val="24"/>
          <w:szCs w:val="24"/>
        </w:rPr>
      </w:pPr>
    </w:p>
    <w:p w:rsidR="006C0B40" w:rsidRPr="005833AE" w:rsidRDefault="006C0B40" w:rsidP="006C0B40">
      <w:pPr>
        <w:widowControl w:val="0"/>
        <w:numPr>
          <w:ilvl w:val="0"/>
          <w:numId w:val="1"/>
        </w:numPr>
        <w:adjustRightInd/>
        <w:snapToGrid/>
        <w:spacing w:after="0" w:line="440" w:lineRule="exact"/>
        <w:jc w:val="both"/>
        <w:rPr>
          <w:rFonts w:ascii="宋体" w:eastAsia="宋体" w:hAnsi="宋体" w:cs="宋体"/>
          <w:b/>
          <w:bCs/>
          <w:kern w:val="2"/>
          <w:sz w:val="24"/>
          <w:szCs w:val="24"/>
        </w:rPr>
      </w:pPr>
      <w:r w:rsidRPr="005833AE">
        <w:rPr>
          <w:rFonts w:ascii="宋体" w:eastAsia="宋体" w:hAnsi="宋体" w:cs="宋体" w:hint="eastAsia"/>
          <w:b/>
          <w:bCs/>
          <w:kern w:val="2"/>
          <w:sz w:val="24"/>
          <w:szCs w:val="24"/>
        </w:rPr>
        <w:t>非标定制设备的运输、现场安装调试、验收要求</w:t>
      </w:r>
    </w:p>
    <w:p w:rsidR="006C0B40" w:rsidRPr="005833AE" w:rsidRDefault="006C0B40" w:rsidP="006C0B40">
      <w:pPr>
        <w:widowControl w:val="0"/>
        <w:adjustRightInd/>
        <w:snapToGrid/>
        <w:spacing w:after="0" w:line="440" w:lineRule="exact"/>
        <w:ind w:left="357"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6.1依据本项目对包装、运输及安全的标准要求，投标人负责对低能加速器辐射防护系统所有设备及其配套进行包装，包装适于长途运输，并有良好的防潮、防震、防锈和防野蛮装卸等保护措施以及符合标准的包装标记，以确保货物安全运输至招标方指定现场，投标方承担由于其包装不妥而引起货物锈蚀、损坏和丢失的责任。每件包装箱内附有一份详细装箱单和质量证书或合格证。所有包装、运输费用由投标方承担且包括在合同总价中，包装物投标方不回收。</w:t>
      </w:r>
    </w:p>
    <w:p w:rsidR="006C0B40" w:rsidRPr="005833AE" w:rsidRDefault="006C0B40" w:rsidP="006C0B40">
      <w:pPr>
        <w:widowControl w:val="0"/>
        <w:adjustRightInd/>
        <w:snapToGrid/>
        <w:spacing w:after="0" w:line="440" w:lineRule="exact"/>
        <w:ind w:left="357"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 xml:space="preserve">6.2 招标人应根据投标人需求提供设备存储场地。投标人应根据现场条件针对设备进行保护，避免设备在存放过程中出现损坏。 </w:t>
      </w:r>
    </w:p>
    <w:p w:rsidR="006C0B40" w:rsidRPr="005833AE" w:rsidRDefault="006C0B40" w:rsidP="006C0B40">
      <w:pPr>
        <w:widowControl w:val="0"/>
        <w:adjustRightInd/>
        <w:snapToGrid/>
        <w:spacing w:after="0" w:line="440" w:lineRule="exact"/>
        <w:ind w:left="357"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6.3 现场安装及调试前30个工作日内需依据《安装调试大纲》提交《现场安装及调试实施方案》，由投标人派技术人员到招标人现场依据《安装调试大纲》和《现场安装及调试实施方案》组织运输及现场转运、安装、调试，对于开箱检查、传输转运、集成安装联调、检测检验等过程中的问题由投标人负全责。</w:t>
      </w:r>
    </w:p>
    <w:p w:rsidR="006C0B40" w:rsidRPr="005833AE" w:rsidRDefault="006C0B40" w:rsidP="006C0B40">
      <w:pPr>
        <w:widowControl w:val="0"/>
        <w:adjustRightInd/>
        <w:snapToGrid/>
        <w:spacing w:after="0" w:line="440" w:lineRule="exact"/>
        <w:ind w:left="357"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6.4 投标方应对有特殊要求的安装技术向招标方进行说明并提供专用工具及技术指导，并对施工质量进行检查。</w:t>
      </w:r>
    </w:p>
    <w:p w:rsidR="006C0B40" w:rsidRPr="005833AE" w:rsidRDefault="006C0B40" w:rsidP="006C0B40">
      <w:pPr>
        <w:widowControl w:val="0"/>
        <w:adjustRightInd/>
        <w:snapToGrid/>
        <w:spacing w:after="0" w:line="440" w:lineRule="exact"/>
        <w:ind w:left="357"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6.5 投标方应按照本项目的要求编制《验收大纲》，《验收大纲》必须经过招标人组织的评审并批准后，方可作为招标人验收的依据。投标人应在详细设计评审结束15个工作日内提交《验收大纲》的最终版，招标人依照《验收大纲》约定的参数和技术进行验收。</w:t>
      </w:r>
    </w:p>
    <w:p w:rsidR="006C0B40" w:rsidRPr="005833AE" w:rsidRDefault="006C0B40" w:rsidP="006C0B40">
      <w:pPr>
        <w:widowControl w:val="0"/>
        <w:adjustRightInd/>
        <w:snapToGrid/>
        <w:spacing w:after="0" w:line="440" w:lineRule="exact"/>
        <w:ind w:left="357" w:firstLineChars="200" w:firstLine="480"/>
        <w:rPr>
          <w:rFonts w:ascii="宋体" w:eastAsia="宋体" w:hAnsi="宋体" w:cs="宋体"/>
          <w:kern w:val="2"/>
          <w:sz w:val="24"/>
          <w:szCs w:val="24"/>
        </w:rPr>
      </w:pPr>
      <w:r w:rsidRPr="005833AE">
        <w:rPr>
          <w:rFonts w:ascii="宋体" w:eastAsia="宋体" w:hAnsi="宋体" w:cs="宋体" w:hint="eastAsia"/>
          <w:kern w:val="2"/>
          <w:sz w:val="24"/>
          <w:szCs w:val="24"/>
        </w:rPr>
        <w:t>6.6系统出厂试验和验收包括系统硬件和系统软件的试验和验收。使用测试装置,接入系统的I/O信号，以及仿真其它计算机系统与本系统的通信,根据试验细则，测试本控制系统的全部功能和性能。试验完成后，对系统进行为期 168 小时的连续考核，并允许采购方进行各个功能和性能的试验，同时还应包括对设备、技术文件的验收。</w:t>
      </w:r>
    </w:p>
    <w:p w:rsidR="006C0B40" w:rsidRPr="005833AE" w:rsidRDefault="006C0B40" w:rsidP="006C0B40">
      <w:pPr>
        <w:widowControl w:val="0"/>
        <w:adjustRightInd/>
        <w:snapToGrid/>
        <w:spacing w:after="0" w:line="440" w:lineRule="exact"/>
        <w:ind w:left="357" w:firstLineChars="200" w:firstLine="480"/>
        <w:rPr>
          <w:rFonts w:ascii="宋体" w:eastAsia="宋体" w:hAnsi="宋体" w:cs="宋体"/>
          <w:kern w:val="2"/>
          <w:sz w:val="24"/>
          <w:szCs w:val="24"/>
        </w:rPr>
      </w:pPr>
      <w:r w:rsidRPr="005833AE">
        <w:rPr>
          <w:rFonts w:ascii="宋体" w:eastAsia="宋体" w:hAnsi="宋体" w:cs="宋体" w:hint="eastAsia"/>
          <w:kern w:val="2"/>
          <w:sz w:val="24"/>
          <w:szCs w:val="24"/>
        </w:rPr>
        <w:t>6.7 关键设备出厂前应进行出厂验收。</w:t>
      </w:r>
    </w:p>
    <w:p w:rsidR="006C0B40" w:rsidRPr="005833AE" w:rsidRDefault="006C0B40" w:rsidP="006C0B40">
      <w:pPr>
        <w:widowControl w:val="0"/>
        <w:adjustRightInd/>
        <w:snapToGrid/>
        <w:spacing w:after="0" w:line="440" w:lineRule="exact"/>
        <w:ind w:left="357"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6.8 系统现场验收在招标人安装现场进行，现场调试结果满足全部功能要求和性能要求后，现场需进行连续运行168 小时考核。</w:t>
      </w:r>
    </w:p>
    <w:p w:rsidR="006C0B40" w:rsidRPr="005833AE" w:rsidRDefault="006C0B40" w:rsidP="006C0B40">
      <w:pPr>
        <w:widowControl w:val="0"/>
        <w:adjustRightInd/>
        <w:snapToGrid/>
        <w:spacing w:after="0" w:line="440" w:lineRule="exact"/>
        <w:ind w:left="357"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6.9在现场试验和验收完成后，双方就验收情况进行设备最终交付验收评审，其中项目环境影响评价作为本项目验收的必要条件，评审通过后，双方签订系统正式验收文件，进行最终验收，并开始进入合同质保期。</w:t>
      </w:r>
    </w:p>
    <w:p w:rsidR="006C0B40" w:rsidRPr="005833AE" w:rsidRDefault="006C0B40" w:rsidP="006C0B40">
      <w:pPr>
        <w:widowControl w:val="0"/>
        <w:adjustRightInd/>
        <w:snapToGrid/>
        <w:spacing w:after="0" w:line="440" w:lineRule="exact"/>
        <w:ind w:left="357" w:firstLineChars="200" w:firstLine="480"/>
        <w:jc w:val="both"/>
        <w:rPr>
          <w:rFonts w:ascii="宋体" w:eastAsia="宋体" w:hAnsi="宋体" w:cs="宋体"/>
          <w:kern w:val="2"/>
          <w:sz w:val="24"/>
          <w:szCs w:val="24"/>
        </w:rPr>
      </w:pPr>
    </w:p>
    <w:p w:rsidR="006C0B40" w:rsidRPr="005833AE" w:rsidRDefault="006C0B40" w:rsidP="006C0B40">
      <w:pPr>
        <w:widowControl w:val="0"/>
        <w:numPr>
          <w:ilvl w:val="0"/>
          <w:numId w:val="1"/>
        </w:numPr>
        <w:adjustRightInd/>
        <w:snapToGrid/>
        <w:spacing w:after="0" w:line="440" w:lineRule="exact"/>
        <w:jc w:val="both"/>
        <w:rPr>
          <w:rFonts w:ascii="宋体" w:eastAsia="宋体" w:hAnsi="宋体" w:cs="宋体"/>
          <w:b/>
          <w:bCs/>
          <w:kern w:val="2"/>
          <w:sz w:val="24"/>
          <w:szCs w:val="24"/>
        </w:rPr>
      </w:pPr>
      <w:r w:rsidRPr="005833AE">
        <w:rPr>
          <w:rFonts w:ascii="宋体" w:eastAsia="宋体" w:hAnsi="宋体" w:cs="宋体" w:hint="eastAsia"/>
          <w:b/>
          <w:bCs/>
          <w:kern w:val="2"/>
          <w:sz w:val="24"/>
          <w:szCs w:val="24"/>
        </w:rPr>
        <w:t>质量保证</w:t>
      </w:r>
    </w:p>
    <w:p w:rsidR="006C0B40" w:rsidRPr="005833AE" w:rsidRDefault="006C0B40" w:rsidP="006C0B40">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7.1投标人具有核安全质量管理组织体系，有专业的质量管理人员、明确的质量管理职责及质量管理文件体系；</w:t>
      </w:r>
    </w:p>
    <w:p w:rsidR="006C0B40" w:rsidRPr="005833AE" w:rsidRDefault="006C0B40" w:rsidP="006C0B40">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7.2 投标人制订《项目质量保证大纲》，对项目的设计、文件、生产、安装和服务做出相应的规定。投标人应完成一份详细的质量控制计划，负责项目的设计、采购、生产制造、检验和试验、现场安装与服务等环节质量保证活动，并提供相关的质量保证记录，确保供货满足国家、行业或企业标准，满足项目技术规范书和合同要求；</w:t>
      </w:r>
    </w:p>
    <w:p w:rsidR="006C0B40" w:rsidRPr="005833AE" w:rsidRDefault="006C0B40" w:rsidP="006C0B40">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 xml:space="preserve">7.3 投标人应对每一制造工序所使用的加工机具，应实施的质量检验、测试，检验方法，检验工具，检验人员等内容进行规定，确保由合格的人员、使用合适的设备器材、遵照适用的工艺文件在适当的环境条件下进行作业；投标人应遵照质量控制计划，提供质量控制点详细分布情况及其设置说明，严格执行，对关键工序设立H/W/R点予以控制。上述质保方式报送招标人审批，接受招标人的工艺文件审查、现场监督检查、质量控制点检查或见证等质保监察； </w:t>
      </w:r>
    </w:p>
    <w:p w:rsidR="006C0B40" w:rsidRPr="005833AE" w:rsidRDefault="006C0B40" w:rsidP="006C0B40">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7.4</w:t>
      </w:r>
      <w:r w:rsidRPr="005833AE">
        <w:rPr>
          <w:rFonts w:ascii="宋体" w:eastAsia="宋体" w:hAnsi="宋体" w:cs="宋体" w:hint="eastAsia"/>
          <w:kern w:val="2"/>
          <w:sz w:val="24"/>
          <w:szCs w:val="24"/>
        </w:rPr>
        <w:tab/>
        <w:t>投标方应按照质量体系程序文件和质量保证大纲要求，对设备供应商的质量保证能力、生产规模、加工及检验设备的先进性、采用的标准、以往的质量档案等进行考察筛选评价，确定合格的设备供应商，建立合格供应商档案，并对每次采购、加工产品质量状况进行记录。</w:t>
      </w:r>
    </w:p>
    <w:p w:rsidR="006C0B40" w:rsidRPr="005833AE" w:rsidRDefault="006C0B40" w:rsidP="006C0B40">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7.5</w:t>
      </w:r>
      <w:r w:rsidRPr="005833AE">
        <w:rPr>
          <w:rFonts w:ascii="宋体" w:eastAsia="宋体" w:hAnsi="宋体" w:cs="宋体" w:hint="eastAsia"/>
          <w:kern w:val="2"/>
          <w:sz w:val="24"/>
          <w:szCs w:val="24"/>
        </w:rPr>
        <w:tab/>
        <w:t>从合同签订开始，严格执行质量计划，对设计开发任务书、设计开发计划、设计评审、设计验证和设计确认等作出严格要求，对设计方案由招标方和设计院共同评审，确定设计方案可行性。进入详细设计阶段，进行不同层次的详细设计评审，对结构和线路、软件、不同设计组之间的设计接口实施管理；</w:t>
      </w:r>
    </w:p>
    <w:p w:rsidR="006C0B40" w:rsidRPr="005833AE" w:rsidRDefault="006C0B40" w:rsidP="006C0B40">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7.6</w:t>
      </w:r>
      <w:r w:rsidRPr="005833AE">
        <w:rPr>
          <w:rFonts w:ascii="宋体" w:eastAsia="宋体" w:hAnsi="宋体" w:cs="宋体" w:hint="eastAsia"/>
          <w:kern w:val="2"/>
          <w:sz w:val="24"/>
          <w:szCs w:val="24"/>
        </w:rPr>
        <w:tab/>
        <w:t>设备的制造依据相关标准，进行性能试验，并出具性能测试报告，产品标定须在有资质的计量站进行，确保试验数据和结论的可靠性，保证产品质量。</w:t>
      </w:r>
    </w:p>
    <w:p w:rsidR="006C0B40" w:rsidRPr="005833AE" w:rsidRDefault="006C0B40" w:rsidP="006C0B40">
      <w:pPr>
        <w:widowControl w:val="0"/>
        <w:adjustRightInd/>
        <w:snapToGrid/>
        <w:spacing w:after="0" w:line="440" w:lineRule="exact"/>
        <w:ind w:firstLineChars="175" w:firstLine="420"/>
        <w:jc w:val="both"/>
        <w:rPr>
          <w:rFonts w:ascii="宋体" w:eastAsia="宋体" w:hAnsi="宋体" w:cs="宋体"/>
          <w:kern w:val="2"/>
          <w:sz w:val="24"/>
          <w:szCs w:val="24"/>
        </w:rPr>
      </w:pPr>
    </w:p>
    <w:p w:rsidR="006C0B40" w:rsidRPr="005833AE" w:rsidRDefault="006C0B40" w:rsidP="006C0B40">
      <w:pPr>
        <w:widowControl w:val="0"/>
        <w:numPr>
          <w:ilvl w:val="0"/>
          <w:numId w:val="1"/>
        </w:numPr>
        <w:adjustRightInd/>
        <w:snapToGrid/>
        <w:spacing w:after="0" w:line="440" w:lineRule="exact"/>
        <w:jc w:val="both"/>
        <w:rPr>
          <w:rFonts w:ascii="宋体" w:eastAsia="宋体" w:hAnsi="宋体" w:cs="宋体"/>
          <w:b/>
          <w:bCs/>
          <w:kern w:val="2"/>
          <w:sz w:val="24"/>
          <w:szCs w:val="24"/>
        </w:rPr>
      </w:pPr>
      <w:r w:rsidRPr="005833AE">
        <w:rPr>
          <w:rFonts w:ascii="宋体" w:eastAsia="宋体" w:hAnsi="宋体" w:cs="宋体" w:hint="eastAsia"/>
          <w:b/>
          <w:bCs/>
          <w:kern w:val="2"/>
          <w:sz w:val="24"/>
          <w:szCs w:val="24"/>
        </w:rPr>
        <w:t>非标定制设备的售后服务</w:t>
      </w:r>
    </w:p>
    <w:p w:rsidR="006C0B40" w:rsidRPr="005833AE" w:rsidRDefault="006C0B40" w:rsidP="006C0B40">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8.1投标人需提供至少2年的质保期，提供现场免费保修服务，质保期内投标方应在接到书面或电话报修通知后， 8小时内提供技术响应，确认需要维修时工程师48小时内到达现场，7个工作日内排除故障。如不能按期排除故障，则设备保修期顺延，如有特殊情况，双方协商；</w:t>
      </w:r>
    </w:p>
    <w:p w:rsidR="006C0B40" w:rsidRPr="005833AE" w:rsidRDefault="006C0B40" w:rsidP="006C0B40">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8.2质保期内，因安装缺陷、产品缺陷、设计、工艺、材料或软硬件缺陷等问题而造成的任何故障，投标人应负全责，并提供免费维修服务、免费更换零部件及免费的技术支持服务，保证系统及时恢复正常；经过两次维修后仍不能正常使用的设备，投标方应按照招标方要求进行退货或更换；如因招标方操作使用不当引起的故障或损坏需投标方提供服务的，投标方只收取材料或配件成本费进行免费维修。</w:t>
      </w:r>
    </w:p>
    <w:p w:rsidR="006C0B40" w:rsidRPr="005833AE" w:rsidRDefault="006C0B40" w:rsidP="006C0B40">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8.3质保期内，投标人至少保证一次回访，并形成必要的维修、更新、检查记录；</w:t>
      </w:r>
    </w:p>
    <w:p w:rsidR="006C0B40" w:rsidRPr="005833AE" w:rsidRDefault="006C0B40" w:rsidP="006C0B40">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8.4质保期满后，投标方应承诺提供长期技术服务，提供有偿维修或更换设备零部件的服务。</w:t>
      </w:r>
    </w:p>
    <w:p w:rsidR="006C0B40" w:rsidRPr="005833AE" w:rsidRDefault="006C0B40" w:rsidP="006C0B40">
      <w:pPr>
        <w:widowControl w:val="0"/>
        <w:adjustRightInd/>
        <w:snapToGrid/>
        <w:spacing w:after="0" w:line="440" w:lineRule="exact"/>
        <w:ind w:firstLineChars="175" w:firstLine="420"/>
        <w:jc w:val="both"/>
        <w:rPr>
          <w:rFonts w:ascii="宋体" w:eastAsia="宋体" w:hAnsi="宋体" w:cs="宋体"/>
          <w:kern w:val="2"/>
          <w:sz w:val="24"/>
          <w:szCs w:val="24"/>
        </w:rPr>
      </w:pPr>
    </w:p>
    <w:p w:rsidR="006C0B40" w:rsidRPr="005833AE" w:rsidRDefault="006C0B40" w:rsidP="006C0B40">
      <w:pPr>
        <w:widowControl w:val="0"/>
        <w:numPr>
          <w:ilvl w:val="0"/>
          <w:numId w:val="1"/>
        </w:numPr>
        <w:adjustRightInd/>
        <w:snapToGrid/>
        <w:spacing w:after="0" w:line="440" w:lineRule="exact"/>
        <w:jc w:val="both"/>
        <w:rPr>
          <w:rFonts w:ascii="宋体" w:eastAsia="宋体" w:hAnsi="宋体" w:cs="宋体"/>
          <w:b/>
          <w:bCs/>
          <w:kern w:val="2"/>
          <w:sz w:val="24"/>
          <w:szCs w:val="24"/>
        </w:rPr>
      </w:pPr>
      <w:r w:rsidRPr="005833AE">
        <w:rPr>
          <w:rFonts w:ascii="宋体" w:eastAsia="宋体" w:hAnsi="宋体" w:cs="宋体" w:hint="eastAsia"/>
          <w:b/>
          <w:bCs/>
          <w:kern w:val="2"/>
          <w:sz w:val="24"/>
          <w:szCs w:val="24"/>
        </w:rPr>
        <w:t>对培训的要求</w:t>
      </w:r>
    </w:p>
    <w:p w:rsidR="006C0B40" w:rsidRPr="005833AE" w:rsidRDefault="006C0B40" w:rsidP="006C0B40">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9.1投标人在投标时应提供较详细的对招标人员的培训计划；</w:t>
      </w:r>
    </w:p>
    <w:p w:rsidR="006C0B40" w:rsidRPr="005833AE" w:rsidRDefault="006C0B40" w:rsidP="006C0B40">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9.2 投标人应在验收前完成对招标人运行人员的培训，并提供完整的《设备运行操作规程/手册（含安全规范）》；</w:t>
      </w:r>
    </w:p>
    <w:p w:rsidR="006C0B40" w:rsidRPr="005833AE" w:rsidRDefault="006C0B40" w:rsidP="006C0B40">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9.3投标人驻派有经验、态度积极的工程师进行培训，培训过程有问题随时解答，确保招标人的有关操作人员能独立、熟练、正确操作使用、维护设备，有关的维修人员能独立排除设备的常见故障，中途不得更换工程师；</w:t>
      </w:r>
    </w:p>
    <w:p w:rsidR="006C0B40" w:rsidRPr="005833AE" w:rsidRDefault="006C0B40" w:rsidP="006C0B40">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9.4投标人对招标人员培训内容包括但不限于设备原理、设备电路线路原理、机械结构及各功能模块介绍、以及设备基本故障诊断排查、易损部件更换、程序设置、工艺操作等；</w:t>
      </w:r>
    </w:p>
    <w:p w:rsidR="006C0B40" w:rsidRPr="005833AE" w:rsidRDefault="006C0B40" w:rsidP="006C0B40">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9.5现场培训需在招标人指定地点进行，培训期间投标人发生的费用自行解决。</w:t>
      </w:r>
    </w:p>
    <w:p w:rsidR="006C0B40" w:rsidRPr="005833AE" w:rsidRDefault="006C0B40" w:rsidP="006C0B40">
      <w:pPr>
        <w:widowControl w:val="0"/>
        <w:adjustRightInd/>
        <w:snapToGrid/>
        <w:spacing w:after="0" w:line="440" w:lineRule="exact"/>
        <w:jc w:val="both"/>
        <w:rPr>
          <w:rFonts w:ascii="宋体" w:eastAsia="宋体" w:hAnsi="宋体" w:cs="宋体"/>
          <w:kern w:val="2"/>
          <w:sz w:val="24"/>
          <w:szCs w:val="24"/>
        </w:rPr>
      </w:pPr>
    </w:p>
    <w:p w:rsidR="006C0B40" w:rsidRPr="005833AE" w:rsidRDefault="006C0B40" w:rsidP="006C0B40">
      <w:pPr>
        <w:widowControl w:val="0"/>
        <w:numPr>
          <w:ilvl w:val="0"/>
          <w:numId w:val="1"/>
        </w:numPr>
        <w:adjustRightInd/>
        <w:snapToGrid/>
        <w:spacing w:after="0" w:line="440" w:lineRule="exact"/>
        <w:jc w:val="both"/>
        <w:rPr>
          <w:rFonts w:ascii="宋体" w:eastAsia="宋体" w:hAnsi="宋体" w:cs="宋体"/>
          <w:b/>
          <w:bCs/>
          <w:kern w:val="2"/>
          <w:sz w:val="24"/>
          <w:szCs w:val="24"/>
        </w:rPr>
      </w:pPr>
      <w:r w:rsidRPr="005833AE">
        <w:rPr>
          <w:rFonts w:ascii="宋体" w:eastAsia="宋体" w:hAnsi="宋体" w:cs="宋体" w:hint="eastAsia"/>
          <w:b/>
          <w:bCs/>
          <w:kern w:val="2"/>
          <w:sz w:val="24"/>
          <w:szCs w:val="24"/>
        </w:rPr>
        <w:t>外采材料设备说明及质量要求</w:t>
      </w:r>
    </w:p>
    <w:p w:rsidR="006C0B40" w:rsidRPr="005833AE" w:rsidRDefault="006C0B40" w:rsidP="006C0B40">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由投标方供应的所有合同设备/部件(包括外购)，在生产过程中都须按技术要求进行严格的检查、检验和试验。所有涉及设备检查和试验的费用由投标方承担，包括招标方要求的重新试验，重新试验的前提是最初的试验结果不符合或无法提供其符合合同要求、相关标准和规范的依据。</w:t>
      </w:r>
    </w:p>
    <w:p w:rsidR="006C0B40" w:rsidRPr="005833AE" w:rsidRDefault="006C0B40" w:rsidP="006C0B40">
      <w:pPr>
        <w:widowControl w:val="0"/>
        <w:numPr>
          <w:ilvl w:val="0"/>
          <w:numId w:val="1"/>
        </w:numPr>
        <w:adjustRightInd/>
        <w:snapToGrid/>
        <w:spacing w:after="0" w:line="440" w:lineRule="exact"/>
        <w:jc w:val="both"/>
        <w:rPr>
          <w:rFonts w:ascii="宋体" w:eastAsia="宋体" w:hAnsi="宋体" w:cs="宋体"/>
          <w:b/>
          <w:bCs/>
          <w:kern w:val="2"/>
          <w:sz w:val="24"/>
          <w:szCs w:val="24"/>
        </w:rPr>
      </w:pPr>
      <w:r w:rsidRPr="005833AE">
        <w:rPr>
          <w:rFonts w:ascii="宋体" w:eastAsia="宋体" w:hAnsi="宋体" w:cs="宋体" w:hint="eastAsia"/>
          <w:b/>
          <w:bCs/>
          <w:kern w:val="2"/>
          <w:sz w:val="24"/>
          <w:szCs w:val="24"/>
        </w:rPr>
        <w:t>进度（工程进度表）的要求</w:t>
      </w:r>
    </w:p>
    <w:p w:rsidR="006C0B40" w:rsidRPr="005833AE" w:rsidRDefault="006C0B40" w:rsidP="006C0B40">
      <w:pPr>
        <w:widowControl w:val="0"/>
        <w:adjustRightInd/>
        <w:snapToGrid/>
        <w:spacing w:after="0" w:line="480" w:lineRule="exact"/>
        <w:ind w:firstLineChars="200" w:firstLine="480"/>
        <w:rPr>
          <w:rFonts w:ascii="宋体" w:eastAsia="宋体" w:hAnsi="宋体" w:cs="宋体"/>
          <w:kern w:val="2"/>
          <w:sz w:val="24"/>
          <w:szCs w:val="24"/>
        </w:rPr>
      </w:pPr>
      <w:r w:rsidRPr="005833AE">
        <w:rPr>
          <w:rFonts w:ascii="宋体" w:eastAsia="宋体" w:hAnsi="宋体" w:cs="宋体" w:hint="eastAsia"/>
          <w:kern w:val="2"/>
          <w:sz w:val="24"/>
          <w:szCs w:val="24"/>
        </w:rPr>
        <w:t>（1）项目总体进度</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合同签订后1个月内：项目启动，完成现场查勘及资料对接移交；</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合同签订后3个月内：完成技术方案详细设计评审、施工方案评审及质量计划的评审；</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评审后1个月内：完成联锁门的安装与本地测试；</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评审后3个月内：完成辐射监测系统的安装与本地测试；</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评审后5个月内：完成安全联锁系统的安装；</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安装完成后2个月内：完成本项目各系统及设备的调试；</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加速器系统装调完成后2个月内：完成与低能区加速器系统的联调。</w:t>
      </w:r>
    </w:p>
    <w:p w:rsidR="006C0B40" w:rsidRPr="005833AE" w:rsidRDefault="006C0B40" w:rsidP="006C0B40">
      <w:pPr>
        <w:widowControl w:val="0"/>
        <w:adjustRightInd/>
        <w:snapToGrid/>
        <w:spacing w:after="0" w:line="480" w:lineRule="exact"/>
        <w:ind w:firstLineChars="200" w:firstLine="480"/>
        <w:rPr>
          <w:rFonts w:ascii="宋体" w:eastAsia="宋体" w:hAnsi="宋体" w:cs="宋体"/>
          <w:kern w:val="2"/>
          <w:sz w:val="24"/>
          <w:szCs w:val="24"/>
        </w:rPr>
      </w:pPr>
      <w:r w:rsidRPr="005833AE">
        <w:rPr>
          <w:rFonts w:ascii="宋体" w:eastAsia="宋体" w:hAnsi="宋体" w:cs="宋体" w:hint="eastAsia"/>
          <w:kern w:val="2"/>
          <w:sz w:val="24"/>
          <w:szCs w:val="24"/>
        </w:rPr>
        <w:t>（2）投标人需在投标文件中根据以上时间节点要求，给出详细的进度安排说明。投标人进度安排计划中应详细列出各子系统关键设备的制造/采购进度计划，详细列出各子系统设备进场顺序、安装计划、调试计划及验收计划。</w:t>
      </w:r>
    </w:p>
    <w:p w:rsidR="006C0B40" w:rsidRPr="005833AE" w:rsidRDefault="006C0B40" w:rsidP="006C0B40">
      <w:pPr>
        <w:widowControl w:val="0"/>
        <w:adjustRightInd/>
        <w:snapToGrid/>
        <w:spacing w:after="0" w:line="480" w:lineRule="exact"/>
        <w:ind w:firstLineChars="200" w:firstLine="480"/>
        <w:rPr>
          <w:rFonts w:ascii="宋体" w:eastAsia="宋体" w:hAnsi="宋体" w:cs="宋体"/>
          <w:kern w:val="2"/>
          <w:sz w:val="24"/>
          <w:szCs w:val="24"/>
        </w:rPr>
      </w:pPr>
      <w:r w:rsidRPr="005833AE">
        <w:rPr>
          <w:rFonts w:ascii="宋体" w:eastAsia="宋体" w:hAnsi="宋体" w:cs="宋体" w:hint="eastAsia"/>
          <w:kern w:val="2"/>
          <w:sz w:val="24"/>
          <w:szCs w:val="24"/>
        </w:rPr>
        <w:t>（3）如果由于招标人基建工程推迟，导致进场时间推迟，则上述进场之后的时间节点按照推迟的时间往后顺延相应的天数。</w:t>
      </w:r>
    </w:p>
    <w:p w:rsidR="006C0B40" w:rsidRPr="005833AE" w:rsidRDefault="006C0B40" w:rsidP="006C0B40">
      <w:pPr>
        <w:widowControl w:val="0"/>
        <w:adjustRightInd/>
        <w:snapToGrid/>
        <w:spacing w:after="0" w:line="480" w:lineRule="exact"/>
        <w:ind w:firstLineChars="200" w:firstLine="480"/>
        <w:rPr>
          <w:rFonts w:ascii="宋体" w:eastAsia="宋体" w:hAnsi="宋体" w:cs="宋体"/>
          <w:kern w:val="2"/>
          <w:sz w:val="24"/>
          <w:szCs w:val="24"/>
        </w:rPr>
      </w:pPr>
      <w:r w:rsidRPr="005833AE">
        <w:rPr>
          <w:rFonts w:ascii="宋体" w:eastAsia="宋体" w:hAnsi="宋体" w:cs="宋体" w:hint="eastAsia"/>
          <w:kern w:val="2"/>
          <w:sz w:val="24"/>
          <w:szCs w:val="24"/>
        </w:rPr>
        <w:t>（4）如果由于招标人加速器系统或各终端子系统工程进度延迟，导致与加速器系统或各终端子系统联调时间推迟，则本项目系统联调时间节点按照推迟的时间往后顺延相应的天数。</w:t>
      </w:r>
    </w:p>
    <w:p w:rsidR="006C0B40" w:rsidRPr="005833AE" w:rsidRDefault="006C0B40" w:rsidP="006C0B40">
      <w:pPr>
        <w:widowControl w:val="0"/>
        <w:adjustRightInd/>
        <w:snapToGrid/>
        <w:spacing w:after="0" w:line="480" w:lineRule="exact"/>
        <w:ind w:firstLineChars="200" w:firstLine="480"/>
        <w:rPr>
          <w:rFonts w:ascii="宋体" w:eastAsia="宋体" w:hAnsi="宋体" w:cs="宋体"/>
          <w:kern w:val="2"/>
          <w:sz w:val="24"/>
          <w:szCs w:val="24"/>
        </w:rPr>
      </w:pPr>
      <w:r w:rsidRPr="005833AE">
        <w:rPr>
          <w:rFonts w:ascii="宋体" w:eastAsia="宋体" w:hAnsi="宋体" w:cs="宋体" w:hint="eastAsia"/>
          <w:kern w:val="2"/>
          <w:sz w:val="24"/>
          <w:szCs w:val="24"/>
        </w:rPr>
        <w:t>（5）投标人应按照Oracle P6工程管理软件要求进行进度月报，具体包括本月已完成工作以及下月要进行的工作等，并需要有专人跟进P6管理。</w:t>
      </w:r>
    </w:p>
    <w:p w:rsidR="006C0B40" w:rsidRPr="005833AE" w:rsidRDefault="006C0B40" w:rsidP="006C0B40">
      <w:pPr>
        <w:widowControl w:val="0"/>
        <w:adjustRightInd/>
        <w:snapToGrid/>
        <w:spacing w:after="0" w:line="480" w:lineRule="exact"/>
        <w:ind w:firstLineChars="200" w:firstLine="480"/>
        <w:rPr>
          <w:rFonts w:ascii="宋体" w:eastAsia="宋体" w:hAnsi="宋体" w:cs="宋体"/>
          <w:kern w:val="2"/>
          <w:sz w:val="24"/>
          <w:szCs w:val="24"/>
        </w:rPr>
      </w:pPr>
    </w:p>
    <w:p w:rsidR="006C0B40" w:rsidRPr="005833AE" w:rsidRDefault="006C0B40" w:rsidP="006C0B40">
      <w:pPr>
        <w:widowControl w:val="0"/>
        <w:numPr>
          <w:ilvl w:val="0"/>
          <w:numId w:val="1"/>
        </w:numPr>
        <w:adjustRightInd/>
        <w:snapToGrid/>
        <w:spacing w:after="0" w:line="440" w:lineRule="exact"/>
        <w:jc w:val="both"/>
        <w:rPr>
          <w:rFonts w:ascii="宋体" w:eastAsia="宋体" w:hAnsi="宋体" w:cs="宋体"/>
          <w:b/>
          <w:bCs/>
          <w:kern w:val="2"/>
          <w:sz w:val="24"/>
          <w:szCs w:val="24"/>
        </w:rPr>
      </w:pPr>
      <w:r w:rsidRPr="005833AE">
        <w:rPr>
          <w:rFonts w:ascii="宋体" w:eastAsia="宋体" w:hAnsi="宋体" w:cs="宋体" w:hint="eastAsia"/>
          <w:b/>
          <w:bCs/>
          <w:kern w:val="2"/>
          <w:sz w:val="24"/>
          <w:szCs w:val="24"/>
        </w:rPr>
        <w:t>工程实施过程要求及加工期技术文件变更方式要求</w:t>
      </w:r>
    </w:p>
    <w:p w:rsidR="006C0B40" w:rsidRPr="005833AE" w:rsidRDefault="006C0B40" w:rsidP="006C0B40">
      <w:pPr>
        <w:widowControl w:val="0"/>
        <w:adjustRightInd/>
        <w:snapToGrid/>
        <w:spacing w:after="0" w:line="480" w:lineRule="exact"/>
        <w:ind w:firstLineChars="200" w:firstLine="480"/>
        <w:rPr>
          <w:rFonts w:ascii="宋体" w:eastAsia="宋体" w:hAnsi="宋体" w:cs="宋体"/>
          <w:kern w:val="2"/>
          <w:sz w:val="24"/>
          <w:szCs w:val="24"/>
        </w:rPr>
      </w:pPr>
      <w:r w:rsidRPr="005833AE">
        <w:rPr>
          <w:rFonts w:ascii="宋体" w:eastAsia="宋体" w:hAnsi="宋体" w:cs="宋体" w:hint="eastAsia"/>
          <w:kern w:val="2"/>
          <w:sz w:val="24"/>
          <w:szCs w:val="24"/>
        </w:rPr>
        <w:t>为了确保项目符合国家要求，项目将在甲乙双方充分沟通的情况下实施。双方签署的正规文件为有效文件。对影响项目需求、主要成果交付日期、项目费用和项目总体参数的变更，必须按照甲乙双方约定的《变更控制规范》执行。</w:t>
      </w:r>
    </w:p>
    <w:p w:rsidR="006C0B40" w:rsidRPr="005833AE" w:rsidRDefault="006C0B40" w:rsidP="006C0B40">
      <w:pPr>
        <w:widowControl w:val="0"/>
        <w:adjustRightInd/>
        <w:snapToGrid/>
        <w:spacing w:after="0" w:line="480" w:lineRule="exact"/>
        <w:rPr>
          <w:rFonts w:ascii="宋体" w:eastAsia="宋体" w:hAnsi="宋体" w:cs="宋体"/>
          <w:b/>
          <w:bCs/>
          <w:kern w:val="2"/>
          <w:sz w:val="21"/>
          <w:szCs w:val="24"/>
        </w:rPr>
      </w:pPr>
    </w:p>
    <w:p w:rsidR="006C0B40" w:rsidRPr="005833AE" w:rsidRDefault="006C0B40" w:rsidP="006C0B40">
      <w:pPr>
        <w:widowControl w:val="0"/>
        <w:numPr>
          <w:ilvl w:val="0"/>
          <w:numId w:val="1"/>
        </w:numPr>
        <w:adjustRightInd/>
        <w:snapToGrid/>
        <w:spacing w:after="0" w:line="440" w:lineRule="exact"/>
        <w:jc w:val="both"/>
        <w:rPr>
          <w:rFonts w:ascii="宋体" w:eastAsia="宋体" w:hAnsi="宋体" w:cs="宋体"/>
          <w:b/>
          <w:bCs/>
          <w:kern w:val="2"/>
          <w:sz w:val="24"/>
          <w:szCs w:val="24"/>
        </w:rPr>
      </w:pPr>
      <w:r w:rsidRPr="005833AE">
        <w:rPr>
          <w:rFonts w:ascii="宋体" w:eastAsia="宋体" w:hAnsi="宋体" w:cs="宋体" w:hint="eastAsia"/>
          <w:b/>
          <w:bCs/>
          <w:kern w:val="2"/>
          <w:sz w:val="24"/>
          <w:szCs w:val="24"/>
        </w:rPr>
        <w:t>甲方需提供的材料及支持（如作业环境、人员等方面）</w:t>
      </w:r>
    </w:p>
    <w:p w:rsidR="006C0B40" w:rsidRPr="005833AE" w:rsidRDefault="006C0B40" w:rsidP="006C0B40">
      <w:pPr>
        <w:widowControl w:val="0"/>
        <w:adjustRightInd/>
        <w:snapToGrid/>
        <w:spacing w:after="0" w:line="44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根据工程需要，招标方提供必要的协调、材料、设计输入及作业环境支持。</w:t>
      </w:r>
    </w:p>
    <w:p w:rsidR="006C0B40" w:rsidRPr="005833AE" w:rsidRDefault="006C0B40" w:rsidP="006C0B40">
      <w:pPr>
        <w:widowControl w:val="0"/>
        <w:adjustRightInd/>
        <w:snapToGrid/>
        <w:spacing w:after="0" w:line="440" w:lineRule="exact"/>
        <w:ind w:left="782"/>
        <w:jc w:val="both"/>
        <w:rPr>
          <w:rFonts w:ascii="Times New Roman" w:eastAsia="仿宋" w:hAnsi="Times New Roman" w:cs="Times New Roman"/>
          <w:kern w:val="2"/>
          <w:sz w:val="24"/>
          <w:szCs w:val="24"/>
        </w:rPr>
      </w:pPr>
    </w:p>
    <w:p w:rsidR="006C0B40" w:rsidRPr="005833AE" w:rsidRDefault="006C0B40" w:rsidP="006C0B40">
      <w:pPr>
        <w:widowControl w:val="0"/>
        <w:numPr>
          <w:ilvl w:val="0"/>
          <w:numId w:val="1"/>
        </w:numPr>
        <w:adjustRightInd/>
        <w:snapToGrid/>
        <w:spacing w:after="0" w:line="440" w:lineRule="exact"/>
        <w:jc w:val="both"/>
        <w:rPr>
          <w:rFonts w:ascii="宋体" w:eastAsia="宋体" w:hAnsi="宋体" w:cs="宋体"/>
          <w:b/>
          <w:bCs/>
          <w:kern w:val="2"/>
          <w:sz w:val="24"/>
          <w:szCs w:val="24"/>
        </w:rPr>
      </w:pPr>
      <w:r w:rsidRPr="005833AE">
        <w:rPr>
          <w:rFonts w:ascii="宋体" w:eastAsia="宋体" w:hAnsi="宋体" w:cs="宋体" w:hint="eastAsia"/>
          <w:b/>
          <w:bCs/>
          <w:kern w:val="2"/>
          <w:sz w:val="24"/>
          <w:szCs w:val="24"/>
        </w:rPr>
        <w:t>付款方式约定及要求</w:t>
      </w:r>
    </w:p>
    <w:p w:rsidR="006C0B40" w:rsidRPr="005833AE" w:rsidRDefault="006C0B40" w:rsidP="006C0B40">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（1）签订合同前，投标人须支付履约保证金，金额为中标价（合同总金额）的5%。</w:t>
      </w:r>
    </w:p>
    <w:p w:rsidR="006C0B40" w:rsidRPr="005833AE" w:rsidRDefault="006C0B40" w:rsidP="006C0B40">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（2）签订合同后，招标人付合同总金额的30%；</w:t>
      </w:r>
    </w:p>
    <w:p w:rsidR="006C0B40" w:rsidRPr="005833AE" w:rsidRDefault="006C0B40" w:rsidP="006C0B40">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（3）投标人完成详细技术方案设计及施工方案设计，由招标人进行评审，通过评审，双方达成共识，经双方主任设计师及部门负责人或单位负责人签字后，招标人付合同总金额的15%；</w:t>
      </w:r>
    </w:p>
    <w:p w:rsidR="006C0B40" w:rsidRPr="005833AE" w:rsidRDefault="006C0B40" w:rsidP="006C0B40">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（4）投标人根据供货计划完成本项目各系统/设备的采购、研制、进场，以及关键设备/系统的现场组装、验证，经双方主任设计师及部门负责人或单位负责人签字通过后，招标人付合同总金额的15%；</w:t>
      </w:r>
    </w:p>
    <w:p w:rsidR="006C0B40" w:rsidRPr="005833AE" w:rsidRDefault="006C0B40" w:rsidP="006C0B40">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（5）投标人完成低能区加速器辐射防护系统安装调试，并通过预验收，经双方主任设计师及部门负责人或单位负责人签字通过后，招标人付合同总金额的20%；</w:t>
      </w:r>
    </w:p>
    <w:p w:rsidR="006C0B40" w:rsidRPr="005833AE" w:rsidRDefault="006C0B40" w:rsidP="006C0B40">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（6）完成项目的总联调，所有技术指标均满足本文件要求，并最终正式验收通过，招标人付合同总金额的20%；</w:t>
      </w:r>
    </w:p>
    <w:p w:rsidR="006C0B40" w:rsidRPr="005833AE" w:rsidRDefault="006C0B40" w:rsidP="006C0B40">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（7）最终验收通过后，履约保证金转为质量保证金，待质量保证期满后，设备运行无问题，满足质保条件，招标人无息返还投标人所有质量保证金，否则质量保证金不退还。</w:t>
      </w:r>
    </w:p>
    <w:p w:rsidR="006C0B40" w:rsidRPr="005833AE" w:rsidRDefault="006C0B40" w:rsidP="006C0B40">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（8）由于是国拨经费，因此每年的付款事宜必须在国拨经费下拨到账后进行；由于国拨经费未下拨，未能满足付款条件，不属于招标人违约。</w:t>
      </w:r>
    </w:p>
    <w:p w:rsidR="006C0B40" w:rsidRPr="005833AE" w:rsidRDefault="006C0B40" w:rsidP="006C0B40">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kern w:val="2"/>
          <w:sz w:val="24"/>
          <w:szCs w:val="24"/>
        </w:rPr>
        <w:t>（</w:t>
      </w:r>
      <w:r w:rsidRPr="005833AE">
        <w:rPr>
          <w:rFonts w:ascii="宋体" w:eastAsia="宋体" w:hAnsi="宋体" w:cs="宋体" w:hint="eastAsia"/>
          <w:kern w:val="2"/>
          <w:sz w:val="24"/>
          <w:szCs w:val="24"/>
        </w:rPr>
        <w:t>9</w:t>
      </w:r>
      <w:r w:rsidRPr="005833AE">
        <w:rPr>
          <w:rFonts w:ascii="宋体" w:eastAsia="宋体" w:hAnsi="宋体" w:cs="宋体"/>
          <w:kern w:val="2"/>
          <w:sz w:val="24"/>
          <w:szCs w:val="24"/>
        </w:rPr>
        <w:t>）本项目按照招标人单位要求，具备监理制度，上述工作节点、付款须由监理确认、签字通过。</w:t>
      </w:r>
    </w:p>
    <w:p w:rsidR="006C0B40" w:rsidRPr="005833AE" w:rsidRDefault="006C0B40" w:rsidP="006C0B40">
      <w:pPr>
        <w:widowControl w:val="0"/>
        <w:adjustRightInd/>
        <w:snapToGrid/>
        <w:spacing w:after="0" w:line="440" w:lineRule="exact"/>
        <w:jc w:val="both"/>
        <w:rPr>
          <w:rFonts w:ascii="Times New Roman" w:eastAsia="仿宋" w:hAnsi="Times New Roman" w:cs="Times New Roman"/>
          <w:kern w:val="2"/>
          <w:sz w:val="24"/>
          <w:szCs w:val="24"/>
        </w:rPr>
      </w:pPr>
    </w:p>
    <w:p w:rsidR="006C0B40" w:rsidRPr="005833AE" w:rsidRDefault="006C0B40" w:rsidP="006C0B40">
      <w:pPr>
        <w:widowControl w:val="0"/>
        <w:numPr>
          <w:ilvl w:val="0"/>
          <w:numId w:val="1"/>
        </w:numPr>
        <w:adjustRightInd/>
        <w:snapToGrid/>
        <w:spacing w:after="0" w:line="440" w:lineRule="exact"/>
        <w:jc w:val="both"/>
        <w:rPr>
          <w:rFonts w:ascii="宋体" w:eastAsia="宋体" w:hAnsi="宋体" w:cs="宋体"/>
          <w:b/>
          <w:bCs/>
          <w:kern w:val="2"/>
          <w:sz w:val="24"/>
          <w:szCs w:val="24"/>
        </w:rPr>
      </w:pPr>
      <w:r w:rsidRPr="005833AE">
        <w:rPr>
          <w:rFonts w:ascii="宋体" w:eastAsia="宋体" w:hAnsi="宋体" w:cs="宋体" w:hint="eastAsia"/>
          <w:b/>
          <w:bCs/>
          <w:kern w:val="2"/>
          <w:sz w:val="24"/>
          <w:szCs w:val="24"/>
        </w:rPr>
        <w:t>相关附加其他技术、服务要求</w:t>
      </w:r>
    </w:p>
    <w:p w:rsidR="006C0B40" w:rsidRPr="005833AE" w:rsidRDefault="006C0B40" w:rsidP="006C0B40">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15.1 投标人在准备投标书时，务必在所提供的商品的技术规格文件中，标明型号、商标名称、 目录号。</w:t>
      </w:r>
    </w:p>
    <w:p w:rsidR="006C0B40" w:rsidRPr="005833AE" w:rsidRDefault="006C0B40" w:rsidP="006C0B40">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15.2 投标人提供的货物的技术规格，应符合招标文件的要求。如与招标文件的技术规格有偏差，应提供技术规格偏差的量值或说明（偏离表）。如投标人有意隐瞒对规格要求的偏差或在开标后提出新的偏差，买方有权扣留其投标保证金或/并拒绝其投标。</w:t>
      </w:r>
    </w:p>
    <w:p w:rsidR="006C0B40" w:rsidRPr="005833AE" w:rsidRDefault="006C0B40" w:rsidP="006C0B40">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15.3 投标人提供的产品样本，必须是“原件” 而非复印件，图表、简图、电路图以及印刷电路板图等都应清晰易读。买方有权不付任何附加费用复制这些资料以供参考。</w:t>
      </w:r>
    </w:p>
    <w:p w:rsidR="006C0B40" w:rsidRPr="005833AE" w:rsidRDefault="006C0B40" w:rsidP="006C0B40">
      <w:pPr>
        <w:widowControl w:val="0"/>
        <w:adjustRightInd/>
        <w:snapToGrid/>
        <w:spacing w:after="0" w:line="440" w:lineRule="exact"/>
        <w:ind w:firstLineChars="175" w:firstLine="420"/>
        <w:jc w:val="both"/>
        <w:rPr>
          <w:rFonts w:ascii="宋体" w:eastAsia="宋体" w:hAnsi="宋体" w:cs="宋体"/>
          <w:kern w:val="2"/>
          <w:sz w:val="24"/>
          <w:szCs w:val="24"/>
        </w:rPr>
      </w:pPr>
      <w:r w:rsidRPr="005833AE">
        <w:rPr>
          <w:rFonts w:ascii="宋体" w:eastAsia="宋体" w:hAnsi="宋体" w:cs="宋体" w:hint="eastAsia"/>
          <w:kern w:val="2"/>
          <w:sz w:val="24"/>
          <w:szCs w:val="24"/>
        </w:rPr>
        <w:t>15.4 除非在技术规格中另有说明，投标方的所有仪器、 设备和系统都应符合下列要求：</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适于在气温-40℃～＋50℃和相对湿度为 90％的环境条件下运输和贮存。</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适于在电源 220V（±10％）50Hz、气温+5℃～＋40℃和相对湿度小于80％的环境条件下运行，能够连续正常工作。</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配置符合中国有关标准要求的插头，如果没有这样的插头，则需提供适当的转换插座。</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如产品达不到上述要求，投标人应注明其偏差。如仪器设备需要特殊工作条件（如水、 电源、磁场强度、温度、湿度、动强度等）投标人应在投标书中加以说明。</w:t>
      </w:r>
    </w:p>
    <w:p w:rsidR="006C0B40" w:rsidRPr="005833AE" w:rsidRDefault="006C0B40" w:rsidP="006C0B40">
      <w:pPr>
        <w:widowControl w:val="0"/>
        <w:numPr>
          <w:ilvl w:val="0"/>
          <w:numId w:val="2"/>
        </w:numPr>
        <w:adjustRightInd/>
        <w:snapToGrid/>
        <w:spacing w:after="0" w:line="460" w:lineRule="exact"/>
        <w:ind w:leftChars="400" w:left="1360" w:hangingChars="200" w:hanging="480"/>
        <w:jc w:val="both"/>
        <w:rPr>
          <w:rFonts w:ascii="宋体" w:eastAsia="宋体" w:hAnsi="宋体" w:cs="宋体"/>
          <w:kern w:val="2"/>
          <w:sz w:val="24"/>
          <w:szCs w:val="24"/>
        </w:rPr>
      </w:pPr>
      <w:r w:rsidRPr="005833AE">
        <w:rPr>
          <w:rFonts w:ascii="宋体" w:eastAsia="宋体" w:hAnsi="宋体" w:cs="宋体" w:hint="eastAsia"/>
          <w:kern w:val="2"/>
          <w:sz w:val="24"/>
          <w:szCs w:val="24"/>
        </w:rPr>
        <w:t>如在具体技术规格中与条要求不一致之处， 以具体技术规格中的要求为准。</w:t>
      </w:r>
    </w:p>
    <w:p w:rsidR="006C0B40" w:rsidRPr="005833AE" w:rsidRDefault="006C0B40" w:rsidP="006C0B40">
      <w:pPr>
        <w:widowControl w:val="0"/>
        <w:adjustRightInd/>
        <w:snapToGrid/>
        <w:spacing w:after="0" w:line="440" w:lineRule="exact"/>
        <w:ind w:firstLineChars="175" w:firstLine="420"/>
        <w:jc w:val="both"/>
        <w:rPr>
          <w:rFonts w:ascii="宋体" w:eastAsia="宋体" w:hAnsi="宋体" w:cs="宋体"/>
          <w:bCs/>
          <w:kern w:val="2"/>
          <w:sz w:val="21"/>
          <w:szCs w:val="21"/>
        </w:rPr>
      </w:pPr>
      <w:r w:rsidRPr="005833AE">
        <w:rPr>
          <w:rFonts w:ascii="宋体" w:eastAsia="宋体" w:hAnsi="宋体" w:cs="宋体" w:hint="eastAsia"/>
          <w:kern w:val="2"/>
          <w:sz w:val="24"/>
          <w:szCs w:val="24"/>
        </w:rPr>
        <w:t>15.5 投标人应积极配合招标人现场设备监理方的工作，接受现场设备监理方的监督检查。其他未尽事宜，双方具体协商。</w:t>
      </w:r>
    </w:p>
    <w:p w:rsidR="006C0B40" w:rsidRPr="005833AE" w:rsidRDefault="006C0B40" w:rsidP="006C0B40">
      <w:pPr>
        <w:widowControl w:val="0"/>
        <w:numPr>
          <w:ilvl w:val="0"/>
          <w:numId w:val="1"/>
        </w:numPr>
        <w:adjustRightInd/>
        <w:snapToGrid/>
        <w:spacing w:after="0" w:line="440" w:lineRule="exact"/>
        <w:jc w:val="both"/>
        <w:rPr>
          <w:rFonts w:ascii="宋体" w:eastAsia="宋体" w:hAnsi="宋体" w:cs="宋体"/>
          <w:b/>
          <w:bCs/>
          <w:kern w:val="2"/>
          <w:sz w:val="24"/>
          <w:szCs w:val="24"/>
        </w:rPr>
      </w:pPr>
      <w:r w:rsidRPr="005833AE">
        <w:rPr>
          <w:rFonts w:ascii="宋体" w:eastAsia="宋体" w:hAnsi="宋体" w:cs="宋体" w:hint="eastAsia"/>
          <w:b/>
          <w:bCs/>
          <w:kern w:val="2"/>
          <w:sz w:val="24"/>
          <w:szCs w:val="24"/>
        </w:rPr>
        <w:t>知识产权</w:t>
      </w:r>
    </w:p>
    <w:p w:rsidR="006C0B40" w:rsidRPr="005833AE" w:rsidRDefault="006C0B40" w:rsidP="006C0B40">
      <w:pPr>
        <w:widowControl w:val="0"/>
        <w:adjustRightInd/>
        <w:snapToGrid/>
        <w:spacing w:after="0" w:line="440" w:lineRule="exact"/>
        <w:ind w:firstLineChars="200" w:firstLine="480"/>
        <w:jc w:val="both"/>
        <w:rPr>
          <w:rFonts w:ascii="宋体" w:eastAsia="宋体" w:hAnsi="宋体" w:cs="宋体"/>
          <w:kern w:val="2"/>
          <w:sz w:val="24"/>
          <w:szCs w:val="24"/>
        </w:rPr>
      </w:pPr>
      <w:r w:rsidRPr="005833AE">
        <w:rPr>
          <w:rFonts w:ascii="宋体" w:eastAsia="宋体" w:hAnsi="宋体" w:cs="宋体" w:hint="eastAsia"/>
          <w:kern w:val="2"/>
          <w:sz w:val="24"/>
          <w:szCs w:val="24"/>
        </w:rPr>
        <w:t>本项目所产生的研究开发成果及其相关知识产权权利归双方共同所有，未经双方认可禁止将其转移至任何其他第三方。</w:t>
      </w:r>
    </w:p>
    <w:p w:rsidR="006C0B40" w:rsidRPr="005833AE" w:rsidRDefault="006C0B40" w:rsidP="006C0B40">
      <w:pPr>
        <w:widowControl w:val="0"/>
        <w:adjustRightInd/>
        <w:snapToGrid/>
        <w:spacing w:after="0" w:line="440" w:lineRule="exact"/>
        <w:ind w:firstLineChars="200" w:firstLine="482"/>
        <w:jc w:val="both"/>
        <w:rPr>
          <w:rFonts w:ascii="宋体" w:eastAsia="宋体" w:hAnsi="宋体" w:cs="宋体"/>
          <w:kern w:val="2"/>
          <w:sz w:val="24"/>
          <w:szCs w:val="24"/>
        </w:rPr>
      </w:pPr>
      <w:r w:rsidRPr="005833AE">
        <w:rPr>
          <w:rFonts w:ascii="宋体" w:eastAsia="宋体" w:hAnsi="宋体" w:cs="宋体" w:hint="eastAsia"/>
          <w:b/>
          <w:bCs/>
          <w:kern w:val="2"/>
          <w:sz w:val="24"/>
          <w:szCs w:val="24"/>
        </w:rPr>
        <w:t>17.</w:t>
      </w:r>
      <w:r w:rsidRPr="005833AE">
        <w:rPr>
          <w:rFonts w:ascii="Times New Roman" w:eastAsia="宋体" w:hAnsi="Times New Roman" w:cs="Times New Roman" w:hint="eastAsia"/>
          <w:b/>
          <w:bCs/>
          <w:kern w:val="2"/>
          <w:sz w:val="24"/>
          <w:szCs w:val="24"/>
        </w:rPr>
        <w:t>详细技术方案设计及施工方案设计的图纸备案份数为</w:t>
      </w:r>
      <w:r w:rsidRPr="005833AE">
        <w:rPr>
          <w:rFonts w:ascii="Times New Roman" w:eastAsia="宋体" w:hAnsi="Times New Roman" w:cs="Times New Roman" w:hint="eastAsia"/>
          <w:b/>
          <w:bCs/>
          <w:kern w:val="2"/>
          <w:sz w:val="24"/>
          <w:szCs w:val="24"/>
        </w:rPr>
        <w:t>10</w:t>
      </w:r>
      <w:r w:rsidRPr="005833AE">
        <w:rPr>
          <w:rFonts w:ascii="Times New Roman" w:eastAsia="宋体" w:hAnsi="Times New Roman" w:cs="Times New Roman" w:hint="eastAsia"/>
          <w:b/>
          <w:bCs/>
          <w:kern w:val="2"/>
          <w:sz w:val="24"/>
          <w:szCs w:val="24"/>
        </w:rPr>
        <w:t>份。</w:t>
      </w:r>
    </w:p>
    <w:p w:rsidR="004358AB" w:rsidRDefault="004358AB" w:rsidP="00D31D50">
      <w:pPr>
        <w:spacing w:line="220" w:lineRule="atLeast"/>
      </w:pPr>
    </w:p>
    <w:sectPr w:rsidR="004358AB" w:rsidSect="004358A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6C6030"/>
    <w:multiLevelType w:val="multilevel"/>
    <w:tmpl w:val="286C6030"/>
    <w:lvl w:ilvl="0">
      <w:start w:val="1"/>
      <w:numFmt w:val="bullet"/>
      <w:lvlText w:val=""/>
      <w:lvlJc w:val="left"/>
      <w:pPr>
        <w:ind w:left="1740" w:hanging="420"/>
      </w:pPr>
      <w:rPr>
        <w:rFonts w:ascii="Wingdings" w:hAnsi="Wingdings" w:hint="default"/>
      </w:rPr>
    </w:lvl>
    <w:lvl w:ilvl="1">
      <w:start w:val="1"/>
      <w:numFmt w:val="bullet"/>
      <w:lvlText w:val=""/>
      <w:lvlJc w:val="left"/>
      <w:pPr>
        <w:ind w:left="2160" w:hanging="420"/>
      </w:pPr>
      <w:rPr>
        <w:rFonts w:ascii="Wingdings" w:hAnsi="Wingdings" w:hint="default"/>
      </w:rPr>
    </w:lvl>
    <w:lvl w:ilvl="2">
      <w:start w:val="1"/>
      <w:numFmt w:val="bullet"/>
      <w:lvlText w:val=""/>
      <w:lvlJc w:val="left"/>
      <w:pPr>
        <w:ind w:left="2580" w:hanging="420"/>
      </w:pPr>
      <w:rPr>
        <w:rFonts w:ascii="Wingdings" w:hAnsi="Wingdings" w:hint="default"/>
      </w:rPr>
    </w:lvl>
    <w:lvl w:ilvl="3">
      <w:start w:val="1"/>
      <w:numFmt w:val="bullet"/>
      <w:lvlText w:val=""/>
      <w:lvlJc w:val="left"/>
      <w:pPr>
        <w:ind w:left="3000" w:hanging="420"/>
      </w:pPr>
      <w:rPr>
        <w:rFonts w:ascii="Wingdings" w:hAnsi="Wingdings" w:hint="default"/>
      </w:rPr>
    </w:lvl>
    <w:lvl w:ilvl="4">
      <w:start w:val="1"/>
      <w:numFmt w:val="bullet"/>
      <w:lvlText w:val=""/>
      <w:lvlJc w:val="left"/>
      <w:pPr>
        <w:ind w:left="3420" w:hanging="420"/>
      </w:pPr>
      <w:rPr>
        <w:rFonts w:ascii="Wingdings" w:hAnsi="Wingdings" w:hint="default"/>
      </w:rPr>
    </w:lvl>
    <w:lvl w:ilvl="5">
      <w:start w:val="1"/>
      <w:numFmt w:val="bullet"/>
      <w:lvlText w:val=""/>
      <w:lvlJc w:val="left"/>
      <w:pPr>
        <w:ind w:left="3840" w:hanging="420"/>
      </w:pPr>
      <w:rPr>
        <w:rFonts w:ascii="Wingdings" w:hAnsi="Wingdings" w:hint="default"/>
      </w:rPr>
    </w:lvl>
    <w:lvl w:ilvl="6">
      <w:start w:val="1"/>
      <w:numFmt w:val="bullet"/>
      <w:lvlText w:val=""/>
      <w:lvlJc w:val="left"/>
      <w:pPr>
        <w:ind w:left="4260" w:hanging="420"/>
      </w:pPr>
      <w:rPr>
        <w:rFonts w:ascii="Wingdings" w:hAnsi="Wingdings" w:hint="default"/>
      </w:rPr>
    </w:lvl>
    <w:lvl w:ilvl="7">
      <w:start w:val="1"/>
      <w:numFmt w:val="bullet"/>
      <w:lvlText w:val=""/>
      <w:lvlJc w:val="left"/>
      <w:pPr>
        <w:ind w:left="4680" w:hanging="420"/>
      </w:pPr>
      <w:rPr>
        <w:rFonts w:ascii="Wingdings" w:hAnsi="Wingdings" w:hint="default"/>
      </w:rPr>
    </w:lvl>
    <w:lvl w:ilvl="8">
      <w:start w:val="1"/>
      <w:numFmt w:val="bullet"/>
      <w:lvlText w:val=""/>
      <w:lvlJc w:val="left"/>
      <w:pPr>
        <w:ind w:left="5100" w:hanging="420"/>
      </w:pPr>
      <w:rPr>
        <w:rFonts w:ascii="Wingdings" w:hAnsi="Wingdings" w:hint="default"/>
      </w:rPr>
    </w:lvl>
  </w:abstractNum>
  <w:abstractNum w:abstractNumId="1">
    <w:nsid w:val="3A330705"/>
    <w:multiLevelType w:val="multilevel"/>
    <w:tmpl w:val="3A330705"/>
    <w:lvl w:ilvl="0">
      <w:start w:val="1"/>
      <w:numFmt w:val="decimal"/>
      <w:lvlText w:val="（%1）"/>
      <w:lvlJc w:val="left"/>
      <w:pPr>
        <w:ind w:left="1862" w:hanging="720"/>
      </w:pPr>
      <w:rPr>
        <w:rFonts w:hint="default"/>
      </w:rPr>
    </w:lvl>
    <w:lvl w:ilvl="1">
      <w:start w:val="1"/>
      <w:numFmt w:val="lowerLetter"/>
      <w:lvlText w:val="%2)"/>
      <w:lvlJc w:val="left"/>
      <w:pPr>
        <w:ind w:left="1982" w:hanging="420"/>
      </w:pPr>
    </w:lvl>
    <w:lvl w:ilvl="2">
      <w:start w:val="1"/>
      <w:numFmt w:val="lowerRoman"/>
      <w:lvlText w:val="%3."/>
      <w:lvlJc w:val="right"/>
      <w:pPr>
        <w:ind w:left="2402" w:hanging="420"/>
      </w:pPr>
    </w:lvl>
    <w:lvl w:ilvl="3">
      <w:start w:val="1"/>
      <w:numFmt w:val="decimal"/>
      <w:lvlText w:val="%4."/>
      <w:lvlJc w:val="left"/>
      <w:pPr>
        <w:ind w:left="2822" w:hanging="420"/>
      </w:pPr>
    </w:lvl>
    <w:lvl w:ilvl="4">
      <w:start w:val="1"/>
      <w:numFmt w:val="lowerLetter"/>
      <w:lvlText w:val="%5)"/>
      <w:lvlJc w:val="left"/>
      <w:pPr>
        <w:ind w:left="3242" w:hanging="420"/>
      </w:pPr>
    </w:lvl>
    <w:lvl w:ilvl="5">
      <w:start w:val="1"/>
      <w:numFmt w:val="lowerRoman"/>
      <w:lvlText w:val="%6."/>
      <w:lvlJc w:val="right"/>
      <w:pPr>
        <w:ind w:left="3662" w:hanging="420"/>
      </w:pPr>
    </w:lvl>
    <w:lvl w:ilvl="6">
      <w:start w:val="1"/>
      <w:numFmt w:val="decimal"/>
      <w:lvlText w:val="%7."/>
      <w:lvlJc w:val="left"/>
      <w:pPr>
        <w:ind w:left="4082" w:hanging="420"/>
      </w:pPr>
    </w:lvl>
    <w:lvl w:ilvl="7">
      <w:start w:val="1"/>
      <w:numFmt w:val="lowerLetter"/>
      <w:lvlText w:val="%8)"/>
      <w:lvlJc w:val="left"/>
      <w:pPr>
        <w:ind w:left="4502" w:hanging="420"/>
      </w:pPr>
    </w:lvl>
    <w:lvl w:ilvl="8">
      <w:start w:val="1"/>
      <w:numFmt w:val="lowerRoman"/>
      <w:lvlText w:val="%9."/>
      <w:lvlJc w:val="right"/>
      <w:pPr>
        <w:ind w:left="4922" w:hanging="420"/>
      </w:pPr>
    </w:lvl>
  </w:abstractNum>
  <w:abstractNum w:abstractNumId="2">
    <w:nsid w:val="3C08488E"/>
    <w:multiLevelType w:val="multilevel"/>
    <w:tmpl w:val="3C08488E"/>
    <w:lvl w:ilvl="0">
      <w:start w:val="1"/>
      <w:numFmt w:val="decimal"/>
      <w:lvlText w:val="%1."/>
      <w:lvlJc w:val="left"/>
      <w:pPr>
        <w:ind w:left="782" w:hanging="360"/>
      </w:pPr>
      <w:rPr>
        <w:rFonts w:hint="default"/>
      </w:rPr>
    </w:lvl>
    <w:lvl w:ilvl="1">
      <w:start w:val="2"/>
      <w:numFmt w:val="decimal"/>
      <w:isLgl/>
      <w:lvlText w:val="%1.%2"/>
      <w:lvlJc w:val="left"/>
      <w:pPr>
        <w:ind w:left="782" w:hanging="360"/>
      </w:pPr>
      <w:rPr>
        <w:rFonts w:hint="default"/>
      </w:rPr>
    </w:lvl>
    <w:lvl w:ilvl="2">
      <w:start w:val="1"/>
      <w:numFmt w:val="decimal"/>
      <w:isLgl/>
      <w:lvlText w:val="%1.%2.%3"/>
      <w:lvlJc w:val="left"/>
      <w:pPr>
        <w:ind w:left="1142" w:hanging="720"/>
      </w:pPr>
      <w:rPr>
        <w:rFonts w:hint="default"/>
      </w:rPr>
    </w:lvl>
    <w:lvl w:ilvl="3">
      <w:start w:val="1"/>
      <w:numFmt w:val="decimal"/>
      <w:isLgl/>
      <w:lvlText w:val="%1.%2.%3.%4"/>
      <w:lvlJc w:val="left"/>
      <w:pPr>
        <w:ind w:left="1502" w:hanging="1080"/>
      </w:pPr>
      <w:rPr>
        <w:rFonts w:hint="default"/>
      </w:rPr>
    </w:lvl>
    <w:lvl w:ilvl="4">
      <w:start w:val="1"/>
      <w:numFmt w:val="decimal"/>
      <w:isLgl/>
      <w:lvlText w:val="%1.%2.%3.%4.%5"/>
      <w:lvlJc w:val="left"/>
      <w:pPr>
        <w:ind w:left="1502" w:hanging="1080"/>
      </w:pPr>
      <w:rPr>
        <w:rFonts w:hint="default"/>
      </w:rPr>
    </w:lvl>
    <w:lvl w:ilvl="5">
      <w:start w:val="1"/>
      <w:numFmt w:val="decimal"/>
      <w:isLgl/>
      <w:lvlText w:val="%1.%2.%3.%4.%5.%6"/>
      <w:lvlJc w:val="left"/>
      <w:pPr>
        <w:ind w:left="1862" w:hanging="1440"/>
      </w:pPr>
      <w:rPr>
        <w:rFonts w:hint="default"/>
      </w:rPr>
    </w:lvl>
    <w:lvl w:ilvl="6">
      <w:start w:val="1"/>
      <w:numFmt w:val="decimal"/>
      <w:isLgl/>
      <w:lvlText w:val="%1.%2.%3.%4.%5.%6.%7"/>
      <w:lvlJc w:val="left"/>
      <w:pPr>
        <w:ind w:left="1862" w:hanging="1440"/>
      </w:pPr>
      <w:rPr>
        <w:rFonts w:hint="default"/>
      </w:rPr>
    </w:lvl>
    <w:lvl w:ilvl="7">
      <w:start w:val="1"/>
      <w:numFmt w:val="decimal"/>
      <w:isLgl/>
      <w:lvlText w:val="%1.%2.%3.%4.%5.%6.%7.%8"/>
      <w:lvlJc w:val="left"/>
      <w:pPr>
        <w:ind w:left="2222" w:hanging="1800"/>
      </w:pPr>
      <w:rPr>
        <w:rFonts w:hint="default"/>
      </w:rPr>
    </w:lvl>
    <w:lvl w:ilvl="8">
      <w:start w:val="1"/>
      <w:numFmt w:val="decimal"/>
      <w:isLgl/>
      <w:lvlText w:val="%1.%2.%3.%4.%5.%6.%7.%8.%9"/>
      <w:lvlJc w:val="left"/>
      <w:pPr>
        <w:ind w:left="2222" w:hanging="1800"/>
      </w:pPr>
      <w:rPr>
        <w:rFonts w:hint="default"/>
      </w:rPr>
    </w:lvl>
  </w:abstractNum>
  <w:abstractNum w:abstractNumId="3">
    <w:nsid w:val="3ED81736"/>
    <w:multiLevelType w:val="multilevel"/>
    <w:tmpl w:val="3ED81736"/>
    <w:lvl w:ilvl="0">
      <w:start w:val="1"/>
      <w:numFmt w:val="decimal"/>
      <w:lvlText w:val="（%1）"/>
      <w:lvlJc w:val="left"/>
      <w:pPr>
        <w:ind w:left="1502" w:hanging="720"/>
      </w:pPr>
      <w:rPr>
        <w:rFonts w:hint="default"/>
      </w:rPr>
    </w:lvl>
    <w:lvl w:ilvl="1">
      <w:start w:val="1"/>
      <w:numFmt w:val="lowerLetter"/>
      <w:lvlText w:val="%2)"/>
      <w:lvlJc w:val="left"/>
      <w:pPr>
        <w:ind w:left="1622" w:hanging="420"/>
      </w:pPr>
    </w:lvl>
    <w:lvl w:ilvl="2">
      <w:start w:val="1"/>
      <w:numFmt w:val="lowerRoman"/>
      <w:lvlText w:val="%3."/>
      <w:lvlJc w:val="right"/>
      <w:pPr>
        <w:ind w:left="2042" w:hanging="420"/>
      </w:pPr>
    </w:lvl>
    <w:lvl w:ilvl="3">
      <w:start w:val="1"/>
      <w:numFmt w:val="decimal"/>
      <w:lvlText w:val="%4."/>
      <w:lvlJc w:val="left"/>
      <w:pPr>
        <w:ind w:left="2462" w:hanging="420"/>
      </w:pPr>
    </w:lvl>
    <w:lvl w:ilvl="4">
      <w:start w:val="1"/>
      <w:numFmt w:val="lowerLetter"/>
      <w:lvlText w:val="%5)"/>
      <w:lvlJc w:val="left"/>
      <w:pPr>
        <w:ind w:left="2882" w:hanging="420"/>
      </w:pPr>
    </w:lvl>
    <w:lvl w:ilvl="5">
      <w:start w:val="1"/>
      <w:numFmt w:val="lowerRoman"/>
      <w:lvlText w:val="%6."/>
      <w:lvlJc w:val="right"/>
      <w:pPr>
        <w:ind w:left="3302" w:hanging="420"/>
      </w:pPr>
    </w:lvl>
    <w:lvl w:ilvl="6">
      <w:start w:val="1"/>
      <w:numFmt w:val="decimal"/>
      <w:lvlText w:val="%7."/>
      <w:lvlJc w:val="left"/>
      <w:pPr>
        <w:ind w:left="3722" w:hanging="420"/>
      </w:pPr>
    </w:lvl>
    <w:lvl w:ilvl="7">
      <w:start w:val="1"/>
      <w:numFmt w:val="lowerLetter"/>
      <w:lvlText w:val="%8)"/>
      <w:lvlJc w:val="left"/>
      <w:pPr>
        <w:ind w:left="4142" w:hanging="420"/>
      </w:pPr>
    </w:lvl>
    <w:lvl w:ilvl="8">
      <w:start w:val="1"/>
      <w:numFmt w:val="lowerRoman"/>
      <w:lvlText w:val="%9."/>
      <w:lvlJc w:val="right"/>
      <w:pPr>
        <w:ind w:left="4562" w:hanging="420"/>
      </w:pPr>
    </w:lvl>
  </w:abstractNum>
  <w:abstractNum w:abstractNumId="4">
    <w:nsid w:val="5F8A7FE5"/>
    <w:multiLevelType w:val="multilevel"/>
    <w:tmpl w:val="5F8A7FE5"/>
    <w:lvl w:ilvl="0">
      <w:start w:val="1"/>
      <w:numFmt w:val="decimal"/>
      <w:lvlText w:val="（%1）"/>
      <w:lvlJc w:val="left"/>
      <w:pPr>
        <w:ind w:left="1862" w:hanging="720"/>
      </w:pPr>
      <w:rPr>
        <w:rFonts w:hint="default"/>
      </w:rPr>
    </w:lvl>
    <w:lvl w:ilvl="1">
      <w:start w:val="1"/>
      <w:numFmt w:val="lowerLetter"/>
      <w:lvlText w:val="%2)"/>
      <w:lvlJc w:val="left"/>
      <w:pPr>
        <w:ind w:left="1982" w:hanging="420"/>
      </w:pPr>
    </w:lvl>
    <w:lvl w:ilvl="2">
      <w:start w:val="1"/>
      <w:numFmt w:val="lowerRoman"/>
      <w:lvlText w:val="%3."/>
      <w:lvlJc w:val="right"/>
      <w:pPr>
        <w:ind w:left="2402" w:hanging="420"/>
      </w:pPr>
    </w:lvl>
    <w:lvl w:ilvl="3">
      <w:start w:val="1"/>
      <w:numFmt w:val="decimal"/>
      <w:lvlText w:val="%4."/>
      <w:lvlJc w:val="left"/>
      <w:pPr>
        <w:ind w:left="2822" w:hanging="420"/>
      </w:pPr>
    </w:lvl>
    <w:lvl w:ilvl="4">
      <w:start w:val="1"/>
      <w:numFmt w:val="lowerLetter"/>
      <w:lvlText w:val="%5)"/>
      <w:lvlJc w:val="left"/>
      <w:pPr>
        <w:ind w:left="3242" w:hanging="420"/>
      </w:pPr>
    </w:lvl>
    <w:lvl w:ilvl="5">
      <w:start w:val="1"/>
      <w:numFmt w:val="lowerRoman"/>
      <w:lvlText w:val="%6."/>
      <w:lvlJc w:val="right"/>
      <w:pPr>
        <w:ind w:left="3662" w:hanging="420"/>
      </w:pPr>
    </w:lvl>
    <w:lvl w:ilvl="6">
      <w:start w:val="1"/>
      <w:numFmt w:val="decimal"/>
      <w:lvlText w:val="%7."/>
      <w:lvlJc w:val="left"/>
      <w:pPr>
        <w:ind w:left="4082" w:hanging="420"/>
      </w:pPr>
    </w:lvl>
    <w:lvl w:ilvl="7">
      <w:start w:val="1"/>
      <w:numFmt w:val="lowerLetter"/>
      <w:lvlText w:val="%8)"/>
      <w:lvlJc w:val="left"/>
      <w:pPr>
        <w:ind w:left="4502" w:hanging="420"/>
      </w:pPr>
    </w:lvl>
    <w:lvl w:ilvl="8">
      <w:start w:val="1"/>
      <w:numFmt w:val="lowerRoman"/>
      <w:lvlText w:val="%9."/>
      <w:lvlJc w:val="right"/>
      <w:pPr>
        <w:ind w:left="4922" w:hanging="42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compat>
    <w:useFELayout/>
  </w:compat>
  <w:rsids>
    <w:rsidRoot w:val="00D31D50"/>
    <w:rsid w:val="00060B8A"/>
    <w:rsid w:val="00323B43"/>
    <w:rsid w:val="003D37D8"/>
    <w:rsid w:val="00426133"/>
    <w:rsid w:val="004358AB"/>
    <w:rsid w:val="006C0B40"/>
    <w:rsid w:val="008B7726"/>
    <w:rsid w:val="00D31D5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C0B40"/>
    <w:pPr>
      <w:spacing w:after="0"/>
    </w:pPr>
    <w:rPr>
      <w:sz w:val="18"/>
      <w:szCs w:val="18"/>
    </w:rPr>
  </w:style>
  <w:style w:type="character" w:customStyle="1" w:styleId="Char">
    <w:name w:val="批注框文本 Char"/>
    <w:basedOn w:val="a0"/>
    <w:link w:val="a3"/>
    <w:uiPriority w:val="99"/>
    <w:semiHidden/>
    <w:rsid w:val="006C0B40"/>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1290</Words>
  <Characters>7359</Characters>
  <Application>Microsoft Office Word</Application>
  <DocSecurity>0</DocSecurity>
  <Lines>61</Lines>
  <Paragraphs>17</Paragraphs>
  <ScaleCrop>false</ScaleCrop>
  <Company/>
  <LinksUpToDate>false</LinksUpToDate>
  <CharactersWithSpaces>8632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邱实</cp:lastModifiedBy>
  <cp:revision>2</cp:revision>
  <dcterms:created xsi:type="dcterms:W3CDTF">2008-09-11T17:20:00Z</dcterms:created>
  <dcterms:modified xsi:type="dcterms:W3CDTF">2020-11-20T02:56:00Z</dcterms:modified>
</cp:coreProperties>
</file>