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570"/>
        <w:jc w:val="center"/>
        <w:rPr>
          <w:rFonts w:hint="eastAsia" w:ascii="宋体" w:hAnsi="宋体"/>
          <w:b/>
          <w:sz w:val="28"/>
          <w:szCs w:val="28"/>
        </w:rPr>
      </w:pPr>
      <w:r>
        <w:rPr>
          <w:rFonts w:hint="eastAsia" w:ascii="宋体" w:hAnsi="宋体"/>
          <w:b/>
          <w:sz w:val="28"/>
          <w:szCs w:val="28"/>
        </w:rPr>
        <w:t>第一章 招标项目情况介绍</w:t>
      </w:r>
    </w:p>
    <w:p>
      <w:pPr>
        <w:spacing w:line="360" w:lineRule="auto"/>
        <w:ind w:firstLine="570"/>
        <w:rPr>
          <w:rFonts w:hint="eastAsia" w:ascii="宋体" w:hAnsi="宋体"/>
          <w:b/>
          <w:sz w:val="24"/>
        </w:rPr>
      </w:pPr>
      <w:r>
        <w:rPr>
          <w:rFonts w:hint="eastAsia" w:ascii="宋体" w:hAnsi="宋体"/>
          <w:b/>
          <w:sz w:val="24"/>
        </w:rPr>
        <w:t>一、总体情况</w:t>
      </w:r>
    </w:p>
    <w:p>
      <w:pPr>
        <w:spacing w:line="360" w:lineRule="auto"/>
        <w:ind w:firstLine="480" w:firstLineChars="200"/>
        <w:rPr>
          <w:rFonts w:hint="eastAsia" w:ascii="宋体" w:hAnsi="宋体"/>
          <w:sz w:val="24"/>
        </w:rPr>
      </w:pPr>
      <w:r>
        <w:rPr>
          <w:rFonts w:hint="eastAsia" w:ascii="宋体" w:hAnsi="宋体"/>
          <w:sz w:val="24"/>
        </w:rPr>
        <w:t>哈尔滨工业大学智谷校区位于松北区智谷大街，物业使用性质为实验、科研综合园区，校区总体情况如下：</w:t>
      </w:r>
    </w:p>
    <w:p>
      <w:pPr>
        <w:spacing w:line="360" w:lineRule="auto"/>
        <w:ind w:firstLine="480" w:firstLineChars="200"/>
        <w:rPr>
          <w:rFonts w:hint="eastAsia" w:ascii="宋体" w:hAnsi="宋体"/>
          <w:sz w:val="24"/>
        </w:rPr>
      </w:pPr>
      <w:r>
        <w:rPr>
          <w:rFonts w:hint="eastAsia" w:ascii="宋体" w:hAnsi="宋体"/>
          <w:sz w:val="24"/>
        </w:rPr>
        <w:t>（一）公共楼宇部分</w:t>
      </w:r>
    </w:p>
    <w:p>
      <w:pPr>
        <w:spacing w:line="360" w:lineRule="auto"/>
        <w:ind w:firstLine="480" w:firstLineChars="200"/>
        <w:outlineLvl w:val="2"/>
        <w:rPr>
          <w:sz w:val="24"/>
        </w:rPr>
      </w:pPr>
      <w:r>
        <w:rPr>
          <w:rFonts w:hint="eastAsia"/>
          <w:sz w:val="24"/>
        </w:rPr>
        <w:t>1.动力管理中心（建筑面积10493㎡、电梯4层站2部）</w:t>
      </w:r>
    </w:p>
    <w:p>
      <w:pPr>
        <w:spacing w:line="360" w:lineRule="auto"/>
        <w:ind w:firstLine="480" w:firstLineChars="200"/>
        <w:outlineLvl w:val="2"/>
        <w:rPr>
          <w:sz w:val="24"/>
        </w:rPr>
      </w:pPr>
      <w:r>
        <w:rPr>
          <w:rFonts w:hint="eastAsia"/>
          <w:sz w:val="24"/>
        </w:rPr>
        <w:t>一层：换热站、餐厅（约350人）、餐厅后厨及加工间、四个小包房、1个大包房、管理用房、1大12小客房（小客房是单人客房）</w:t>
      </w:r>
    </w:p>
    <w:p>
      <w:pPr>
        <w:spacing w:line="360" w:lineRule="auto"/>
        <w:ind w:firstLine="480" w:firstLineChars="200"/>
        <w:outlineLvl w:val="2"/>
        <w:rPr>
          <w:sz w:val="24"/>
        </w:rPr>
      </w:pPr>
      <w:r>
        <w:rPr>
          <w:rFonts w:hint="eastAsia"/>
          <w:sz w:val="24"/>
        </w:rPr>
        <w:t>二层：大会议室（294人）、会议室2间（42人）、会议室2间（22人）、会议室1间（20人）、活动室1间、办公室7间、2大17小客房（小客房是大床房）</w:t>
      </w:r>
    </w:p>
    <w:p>
      <w:pPr>
        <w:spacing w:line="360" w:lineRule="auto"/>
        <w:ind w:firstLine="480" w:firstLineChars="200"/>
        <w:outlineLvl w:val="2"/>
        <w:rPr>
          <w:sz w:val="24"/>
        </w:rPr>
      </w:pPr>
      <w:r>
        <w:rPr>
          <w:rFonts w:hint="eastAsia"/>
          <w:sz w:val="24"/>
        </w:rPr>
        <w:t>三层：办公室15间、会客室1间、会议室1间（20人）、2大18小客房（小客房是双床）</w:t>
      </w:r>
    </w:p>
    <w:p>
      <w:pPr>
        <w:spacing w:line="360" w:lineRule="auto"/>
        <w:ind w:firstLine="480" w:firstLineChars="200"/>
        <w:outlineLvl w:val="2"/>
        <w:rPr>
          <w:sz w:val="24"/>
        </w:rPr>
      </w:pPr>
      <w:r>
        <w:rPr>
          <w:rFonts w:hint="eastAsia"/>
          <w:sz w:val="24"/>
        </w:rPr>
        <w:t>四层：办公室16间、会客室1间、会议室1间（20人）、2大18小客房（小客房是双床）</w:t>
      </w:r>
    </w:p>
    <w:p>
      <w:pPr>
        <w:spacing w:line="360" w:lineRule="auto"/>
        <w:ind w:firstLine="480" w:firstLineChars="200"/>
        <w:outlineLvl w:val="2"/>
        <w:rPr>
          <w:sz w:val="24"/>
        </w:rPr>
      </w:pPr>
      <w:r>
        <w:rPr>
          <w:rFonts w:hint="eastAsia"/>
          <w:sz w:val="24"/>
        </w:rPr>
        <w:t>2.主动力中心（建筑面积2975㎡）</w:t>
      </w:r>
    </w:p>
    <w:p>
      <w:pPr>
        <w:spacing w:line="360" w:lineRule="auto"/>
        <w:ind w:firstLine="480" w:firstLineChars="200"/>
        <w:outlineLvl w:val="2"/>
        <w:rPr>
          <w:sz w:val="24"/>
        </w:rPr>
      </w:pPr>
      <w:r>
        <w:rPr>
          <w:rFonts w:hint="eastAsia"/>
          <w:sz w:val="24"/>
        </w:rPr>
        <w:t>一层：变电所、换热站、消防水泵房、生活水泵房、消防水池、消控室、监控室</w:t>
      </w:r>
    </w:p>
    <w:p>
      <w:pPr>
        <w:spacing w:line="360" w:lineRule="auto"/>
        <w:ind w:firstLine="480" w:firstLineChars="200"/>
        <w:outlineLvl w:val="2"/>
        <w:rPr>
          <w:sz w:val="24"/>
        </w:rPr>
      </w:pPr>
      <w:r>
        <w:rPr>
          <w:rFonts w:hint="eastAsia"/>
          <w:sz w:val="24"/>
        </w:rPr>
        <w:t>二层：弱电机房、低压配电室</w:t>
      </w:r>
    </w:p>
    <w:p>
      <w:pPr>
        <w:spacing w:line="360" w:lineRule="auto"/>
        <w:ind w:firstLine="480" w:firstLineChars="200"/>
        <w:outlineLvl w:val="2"/>
        <w:rPr>
          <w:sz w:val="24"/>
        </w:rPr>
      </w:pPr>
      <w:r>
        <w:rPr>
          <w:rFonts w:hint="eastAsia"/>
          <w:sz w:val="24"/>
        </w:rPr>
        <w:t>3.磁环境楼（建筑面积3278.38 ㎡）</w:t>
      </w:r>
    </w:p>
    <w:p>
      <w:pPr>
        <w:spacing w:line="360" w:lineRule="auto"/>
        <w:ind w:firstLine="480" w:firstLineChars="200"/>
        <w:outlineLvl w:val="2"/>
        <w:rPr>
          <w:sz w:val="24"/>
        </w:rPr>
      </w:pPr>
      <w:r>
        <w:rPr>
          <w:rFonts w:hint="eastAsia"/>
          <w:sz w:val="24"/>
        </w:rPr>
        <w:t>电梯4层站1部 天车5吨1台 2吨1台</w:t>
      </w:r>
    </w:p>
    <w:p>
      <w:pPr>
        <w:spacing w:line="360" w:lineRule="auto"/>
        <w:ind w:firstLine="480" w:firstLineChars="200"/>
        <w:outlineLvl w:val="2"/>
        <w:rPr>
          <w:sz w:val="24"/>
        </w:rPr>
      </w:pPr>
      <w:r>
        <w:rPr>
          <w:rFonts w:hint="eastAsia"/>
          <w:sz w:val="24"/>
        </w:rPr>
        <w:t>4.动物实验楼（建筑面积1395㎡）二层楼</w:t>
      </w:r>
    </w:p>
    <w:p>
      <w:pPr>
        <w:spacing w:line="360" w:lineRule="auto"/>
        <w:ind w:firstLine="480" w:firstLineChars="200"/>
        <w:outlineLvl w:val="2"/>
        <w:rPr>
          <w:rFonts w:hint="eastAsia"/>
          <w:sz w:val="24"/>
        </w:rPr>
      </w:pPr>
      <w:r>
        <w:rPr>
          <w:rFonts w:hint="eastAsia"/>
          <w:sz w:val="24"/>
        </w:rPr>
        <w:t>5.等离子楼（建筑面积2340.80㎡）</w:t>
      </w:r>
    </w:p>
    <w:p>
      <w:pPr>
        <w:spacing w:line="360" w:lineRule="auto"/>
        <w:ind w:firstLine="480" w:firstLineChars="200"/>
        <w:outlineLvl w:val="2"/>
        <w:rPr>
          <w:sz w:val="24"/>
        </w:rPr>
      </w:pPr>
      <w:r>
        <w:rPr>
          <w:rFonts w:hint="eastAsia"/>
          <w:sz w:val="24"/>
        </w:rPr>
        <w:t>客梯1部、天车10吨1部 3吨1部</w:t>
      </w:r>
    </w:p>
    <w:p>
      <w:pPr>
        <w:spacing w:line="360" w:lineRule="auto"/>
        <w:ind w:firstLine="480" w:firstLineChars="200"/>
        <w:outlineLvl w:val="2"/>
        <w:rPr>
          <w:sz w:val="24"/>
        </w:rPr>
      </w:pPr>
      <w:r>
        <w:rPr>
          <w:rFonts w:hint="eastAsia"/>
          <w:sz w:val="24"/>
        </w:rPr>
        <w:t>6.综合环境实验楼（建筑面积21748.75㎡）</w:t>
      </w:r>
    </w:p>
    <w:p>
      <w:pPr>
        <w:spacing w:line="360" w:lineRule="auto"/>
        <w:ind w:firstLine="480" w:firstLineChars="200"/>
        <w:outlineLvl w:val="2"/>
        <w:rPr>
          <w:sz w:val="24"/>
        </w:rPr>
      </w:pPr>
      <w:r>
        <w:rPr>
          <w:rFonts w:hint="eastAsia"/>
          <w:sz w:val="24"/>
        </w:rPr>
        <w:t>客货两用电梯3部（2部2层站、1部3层站）、天车15台</w:t>
      </w:r>
    </w:p>
    <w:p>
      <w:pPr>
        <w:spacing w:line="360" w:lineRule="auto"/>
        <w:ind w:firstLine="480" w:firstLineChars="200"/>
        <w:rPr>
          <w:rFonts w:hint="eastAsia" w:ascii="宋体" w:hAnsi="宋体"/>
          <w:sz w:val="24"/>
        </w:rPr>
      </w:pPr>
      <w:r>
        <w:rPr>
          <w:rFonts w:hint="eastAsia" w:ascii="宋体" w:hAnsi="宋体"/>
          <w:sz w:val="24"/>
        </w:rPr>
        <w:t>（二）园区部分</w:t>
      </w:r>
    </w:p>
    <w:p>
      <w:pPr>
        <w:spacing w:line="360" w:lineRule="auto"/>
        <w:ind w:firstLine="480" w:firstLineChars="200"/>
        <w:rPr>
          <w:rFonts w:hint="eastAsia" w:ascii="宋体" w:hAnsi="宋体"/>
          <w:sz w:val="24"/>
        </w:rPr>
      </w:pPr>
      <w:r>
        <w:rPr>
          <w:rFonts w:hint="eastAsia"/>
          <w:sz w:val="24"/>
        </w:rPr>
        <w:t>校区道路面积约1.8万㎡，绿化面积约0.9万㎡，预设有人值守出入口2个。</w:t>
      </w:r>
    </w:p>
    <w:p>
      <w:pPr>
        <w:spacing w:line="360" w:lineRule="auto"/>
        <w:ind w:firstLine="480" w:firstLineChars="200"/>
        <w:rPr>
          <w:rFonts w:hint="eastAsia" w:ascii="宋体" w:hAnsi="宋体"/>
          <w:sz w:val="24"/>
        </w:rPr>
      </w:pPr>
      <w:r>
        <w:rPr>
          <w:rFonts w:hint="eastAsia" w:ascii="宋体" w:hAnsi="宋体"/>
          <w:sz w:val="24"/>
        </w:rPr>
        <w:t>二、</w:t>
      </w:r>
      <w:r>
        <w:rPr>
          <w:rFonts w:hint="eastAsia" w:ascii="宋体" w:hAnsi="宋体"/>
          <w:b/>
          <w:sz w:val="24"/>
        </w:rPr>
        <w:t>招标采购范围：</w:t>
      </w:r>
    </w:p>
    <w:p>
      <w:pPr>
        <w:spacing w:line="360" w:lineRule="auto"/>
        <w:ind w:firstLine="570"/>
        <w:rPr>
          <w:sz w:val="24"/>
        </w:rPr>
      </w:pPr>
      <w:r>
        <w:rPr>
          <w:rFonts w:hint="eastAsia"/>
          <w:sz w:val="24"/>
        </w:rPr>
        <w:t>1.清扫保洁、绿化养护：包括校区室内外公共区域的清洁开荒、清扫保洁、垃圾转运（从校区运至市政指定地点）、冬季清冰雪、绿化养护等。</w:t>
      </w:r>
    </w:p>
    <w:p>
      <w:pPr>
        <w:spacing w:line="360" w:lineRule="auto"/>
        <w:ind w:firstLine="570"/>
        <w:rPr>
          <w:sz w:val="24"/>
        </w:rPr>
      </w:pPr>
      <w:r>
        <w:rPr>
          <w:rFonts w:hint="eastAsia"/>
          <w:sz w:val="24"/>
        </w:rPr>
        <w:t>2.秩序维护：各楼及园区出入口门卫值班、消控室值班及校区巡视巡查、安全防范工作。</w:t>
      </w:r>
    </w:p>
    <w:p>
      <w:pPr>
        <w:spacing w:line="360" w:lineRule="auto"/>
        <w:ind w:firstLine="570"/>
        <w:rPr>
          <w:sz w:val="24"/>
        </w:rPr>
      </w:pPr>
      <w:r>
        <w:rPr>
          <w:rFonts w:hint="eastAsia"/>
          <w:sz w:val="24"/>
        </w:rPr>
        <w:t>3.</w:t>
      </w:r>
      <w:r>
        <w:rPr>
          <w:rFonts w:hint="eastAsia" w:ascii="宋体" w:hAnsi="宋体"/>
          <w:sz w:val="24"/>
        </w:rPr>
        <w:t xml:space="preserve"> 综合管理与服务：设备设施管理、安全管理、节能管理、突发事件处理、搬家管理、装修管理、卫生防疫管理、服务意见处理及反馈等。</w:t>
      </w:r>
    </w:p>
    <w:p>
      <w:pPr>
        <w:spacing w:line="360" w:lineRule="auto"/>
        <w:ind w:firstLine="570"/>
        <w:rPr>
          <w:sz w:val="24"/>
        </w:rPr>
      </w:pPr>
      <w:r>
        <w:rPr>
          <w:rFonts w:hint="eastAsia"/>
          <w:sz w:val="24"/>
        </w:rPr>
        <w:t>4.水、电、暖、天车、电梯、消防、弱电、土建等楼宇所有配套公共设施设备及共用部位值班、运行维护、保养及日常维修。</w:t>
      </w:r>
    </w:p>
    <w:p>
      <w:pPr>
        <w:spacing w:line="360" w:lineRule="auto"/>
        <w:ind w:firstLine="570"/>
        <w:rPr>
          <w:sz w:val="24"/>
        </w:rPr>
      </w:pPr>
      <w:r>
        <w:rPr>
          <w:rFonts w:hint="eastAsia"/>
          <w:sz w:val="24"/>
        </w:rPr>
        <w:t>5.住宿管理：动力管理中心宿舍、客房日常管理、客房接待服务，房间清洁、打扫，床单、被罩、枕巾、拖鞋等备品更换、清洗等服务。</w:t>
      </w:r>
    </w:p>
    <w:p>
      <w:pPr>
        <w:spacing w:line="360" w:lineRule="auto"/>
        <w:ind w:firstLine="570"/>
        <w:rPr>
          <w:rFonts w:hint="eastAsia"/>
          <w:sz w:val="24"/>
        </w:rPr>
      </w:pPr>
      <w:r>
        <w:rPr>
          <w:rFonts w:hint="eastAsia"/>
          <w:sz w:val="24"/>
        </w:rPr>
        <w:t>6.餐饮服务：动力管理中心食堂餐饮服务，包含档口、厨房、冷荤间、面点间、餐厅、包房等服务，不包含食材、辅料的采购。</w:t>
      </w:r>
    </w:p>
    <w:p>
      <w:pPr>
        <w:spacing w:line="360" w:lineRule="auto"/>
        <w:ind w:firstLine="480" w:firstLineChars="200"/>
        <w:rPr>
          <w:rFonts w:hint="eastAsia"/>
          <w:sz w:val="24"/>
        </w:rPr>
      </w:pPr>
      <w:r>
        <w:rPr>
          <w:rFonts w:hint="eastAsia"/>
          <w:sz w:val="24"/>
        </w:rPr>
        <w:t>注：住宿管理及餐饮服务具体经营管理模式及费用结算方式根据甲方实际需求另行确定方案，能源及资源使用费用按学校规定执行。</w:t>
      </w:r>
    </w:p>
    <w:p>
      <w:pPr>
        <w:spacing w:line="360" w:lineRule="auto"/>
        <w:ind w:firstLine="570"/>
        <w:rPr>
          <w:rFonts w:hint="eastAsia"/>
          <w:sz w:val="24"/>
        </w:rPr>
      </w:pPr>
    </w:p>
    <w:p>
      <w:pPr>
        <w:spacing w:line="360" w:lineRule="auto"/>
        <w:ind w:firstLine="570"/>
        <w:jc w:val="center"/>
        <w:rPr>
          <w:rFonts w:hint="eastAsia" w:ascii="宋体" w:hAnsi="宋体"/>
          <w:b/>
          <w:sz w:val="28"/>
          <w:szCs w:val="28"/>
        </w:rPr>
      </w:pPr>
      <w:r>
        <w:rPr>
          <w:rFonts w:hint="eastAsia" w:ascii="宋体" w:hAnsi="宋体"/>
          <w:b/>
          <w:sz w:val="28"/>
          <w:szCs w:val="28"/>
        </w:rPr>
        <w:t>第二章 主要项目服务标准要求</w:t>
      </w:r>
    </w:p>
    <w:p>
      <w:pPr>
        <w:spacing w:line="360" w:lineRule="auto"/>
        <w:ind w:firstLine="570"/>
        <w:rPr>
          <w:rFonts w:hint="eastAsia" w:ascii="宋体" w:hAnsi="宋体"/>
          <w:b/>
          <w:sz w:val="24"/>
        </w:rPr>
      </w:pPr>
      <w:r>
        <w:rPr>
          <w:rFonts w:hint="eastAsia" w:ascii="宋体" w:hAnsi="宋体"/>
          <w:b/>
          <w:sz w:val="24"/>
        </w:rPr>
        <w:t>一、室内外环境</w:t>
      </w:r>
    </w:p>
    <w:p>
      <w:pPr>
        <w:spacing w:line="360" w:lineRule="auto"/>
        <w:ind w:firstLine="570"/>
        <w:rPr>
          <w:rFonts w:hint="eastAsia" w:ascii="宋体" w:hAnsi="宋体"/>
          <w:b/>
          <w:sz w:val="24"/>
        </w:rPr>
      </w:pPr>
      <w:r>
        <w:rPr>
          <w:rFonts w:hint="eastAsia" w:ascii="宋体" w:hAnsi="宋体"/>
          <w:b/>
          <w:sz w:val="24"/>
        </w:rPr>
        <w:t>（一）清洁开荒</w:t>
      </w:r>
    </w:p>
    <w:p>
      <w:pPr>
        <w:spacing w:line="360" w:lineRule="auto"/>
        <w:ind w:firstLine="570"/>
        <w:rPr>
          <w:rFonts w:hint="eastAsia" w:ascii="宋体" w:hAnsi="宋体"/>
          <w:sz w:val="24"/>
        </w:rPr>
      </w:pPr>
      <w:r>
        <w:rPr>
          <w:rFonts w:hint="eastAsia" w:ascii="宋体" w:hAnsi="宋体"/>
          <w:sz w:val="24"/>
        </w:rPr>
        <w:t>物业服务企业进驻后，需对楼宇或庭院死角进行全面清洁，因施工现场开荒不到位而发生的二次开荒，由甲乙双方约定完成，开荒费用由甲方在物业费中核算，达到甲方指定要求及标准。（达到日常保洁标准）。</w:t>
      </w:r>
    </w:p>
    <w:p>
      <w:pPr>
        <w:spacing w:line="360" w:lineRule="auto"/>
        <w:ind w:firstLine="570"/>
        <w:rPr>
          <w:rFonts w:hint="eastAsia" w:ascii="宋体" w:hAnsi="宋体"/>
          <w:b/>
          <w:sz w:val="24"/>
        </w:rPr>
      </w:pPr>
      <w:r>
        <w:rPr>
          <w:rFonts w:hint="eastAsia" w:ascii="宋体" w:hAnsi="宋体"/>
          <w:b/>
          <w:sz w:val="24"/>
        </w:rPr>
        <w:t>（二）楼宇日常保洁</w:t>
      </w:r>
    </w:p>
    <w:p>
      <w:pPr>
        <w:spacing w:line="360" w:lineRule="auto"/>
        <w:ind w:firstLine="480" w:firstLineChars="200"/>
        <w:rPr>
          <w:rFonts w:hint="eastAsia" w:ascii="宋体" w:hAnsi="宋体"/>
          <w:sz w:val="24"/>
        </w:rPr>
      </w:pPr>
      <w:r>
        <w:rPr>
          <w:rFonts w:hint="eastAsia" w:ascii="宋体" w:hAnsi="宋体"/>
          <w:sz w:val="24"/>
        </w:rPr>
        <w:t>在楼宇卫生间配备脚踏式垃圾桶，每层电梯及楼宇出入口位置配置果皮箱，楼宇门前配置垃圾转运箱，校区内垃圾转运站配置大垃圾箱。楼宇公共区域内，日常清洁，设立专职卫生人员以确保为师生提供一个清洁、舒适的工作环境。部分项目标准如下：</w:t>
      </w:r>
    </w:p>
    <w:p>
      <w:pPr>
        <w:spacing w:line="360" w:lineRule="auto"/>
        <w:ind w:firstLine="480" w:firstLineChars="200"/>
        <w:rPr>
          <w:rFonts w:hint="eastAsia" w:ascii="宋体" w:hAnsi="宋体"/>
          <w:sz w:val="24"/>
        </w:rPr>
      </w:pPr>
      <w:r>
        <w:rPr>
          <w:rFonts w:hint="eastAsia" w:ascii="宋体" w:hAnsi="宋体"/>
          <w:sz w:val="24"/>
        </w:rPr>
        <w:t>1.走廊、楼道、门厅等卫生区域：每天彻底清扫、擦拭，垃圾及时清运，做到：地面光亮，无杂物、无污渍、水渍；墙体、走廊门、门框、踢脚线、楼梯扶手、标识牌、暖气、垃圾桶、玻璃、窗台、灯具及各种设施表面干净，无灰尘、无污垢、无污迹。</w:t>
      </w:r>
    </w:p>
    <w:p>
      <w:pPr>
        <w:spacing w:line="360" w:lineRule="auto"/>
        <w:ind w:firstLine="480" w:firstLineChars="200"/>
        <w:rPr>
          <w:rFonts w:hint="eastAsia" w:ascii="宋体" w:hAnsi="宋体"/>
          <w:sz w:val="24"/>
        </w:rPr>
      </w:pPr>
      <w:r>
        <w:rPr>
          <w:rFonts w:hint="eastAsia" w:ascii="宋体" w:hAnsi="宋体"/>
          <w:sz w:val="24"/>
        </w:rPr>
        <w:t>2.卫生间：随时对卫生间进行清洁。做到：垃圾及时清走，存留不超过垃圾桶身三分之二；墙面、便器具、垃圾桶、纸篓、洁具、镜面、瓷砖、地砖定时洗刷，无杂物，无污垢，无积水，无积尘；拖布和清洁用品摆放整齐，无乱堆乱放；定时喷洒空气清新剂，定期进行卫生间消毒、除臭，保证无异味。</w:t>
      </w:r>
    </w:p>
    <w:p>
      <w:pPr>
        <w:spacing w:line="360" w:lineRule="auto"/>
        <w:ind w:left="-2" w:leftChars="-1" w:firstLine="600" w:firstLineChars="250"/>
        <w:rPr>
          <w:rFonts w:hint="eastAsia" w:ascii="宋体" w:hAnsi="宋体"/>
          <w:sz w:val="24"/>
        </w:rPr>
      </w:pPr>
      <w:r>
        <w:rPr>
          <w:rFonts w:hint="eastAsia" w:ascii="宋体" w:hAnsi="宋体"/>
          <w:sz w:val="24"/>
        </w:rPr>
        <w:t>3.电梯：每天清洁、擦拭电梯门、镜面、墙面、地面，随时清理电梯间内轿厢附属设施、电梯滑道、电梯缝隙杂物，做到：无杂物、无污渍、无尘灰。</w:t>
      </w:r>
    </w:p>
    <w:p>
      <w:pPr>
        <w:spacing w:line="360" w:lineRule="auto"/>
        <w:ind w:left="-2" w:leftChars="-1" w:firstLine="600" w:firstLineChars="250"/>
        <w:rPr>
          <w:rFonts w:hint="eastAsia" w:ascii="宋体" w:hAnsi="宋体"/>
          <w:sz w:val="24"/>
        </w:rPr>
      </w:pPr>
      <w:r>
        <w:rPr>
          <w:rFonts w:hint="eastAsia" w:ascii="宋体" w:hAnsi="宋体"/>
          <w:sz w:val="24"/>
        </w:rPr>
        <w:t>4.外墙面及玻璃：及时清理外墙面小广告、喷涂及其他污渍，保持楼宇外观整洁。</w:t>
      </w:r>
    </w:p>
    <w:p>
      <w:pPr>
        <w:spacing w:line="360" w:lineRule="auto"/>
        <w:ind w:left="-2" w:leftChars="-1" w:firstLine="600" w:firstLineChars="250"/>
        <w:rPr>
          <w:rFonts w:hint="eastAsia" w:ascii="宋体" w:hAnsi="宋体"/>
          <w:sz w:val="24"/>
        </w:rPr>
      </w:pPr>
      <w:r>
        <w:rPr>
          <w:rFonts w:hint="eastAsia" w:ascii="宋体" w:hAnsi="宋体"/>
          <w:sz w:val="24"/>
        </w:rPr>
        <w:t>5.楼顶：定期进行巡视巡查，对杂物、水漏管口冰雪等及时进行清理，对防水层开裂及时报修处理。</w:t>
      </w:r>
    </w:p>
    <w:p>
      <w:pPr>
        <w:spacing w:line="360" w:lineRule="auto"/>
        <w:ind w:left="-2" w:leftChars="-1" w:firstLine="600" w:firstLineChars="250"/>
        <w:rPr>
          <w:rFonts w:hint="eastAsia" w:ascii="宋体" w:hAnsi="宋体"/>
          <w:sz w:val="24"/>
        </w:rPr>
      </w:pPr>
      <w:r>
        <w:rPr>
          <w:rFonts w:hint="eastAsia" w:ascii="宋体" w:hAnsi="宋体"/>
          <w:sz w:val="24"/>
        </w:rPr>
        <w:t>6.楼宇三包区：每日对楼宇门前台阶、散水坡、采光井等部位及时进行清理，无杂物、无杂草、无污染、无冰雪。</w:t>
      </w:r>
    </w:p>
    <w:p>
      <w:pPr>
        <w:spacing w:line="360" w:lineRule="auto"/>
        <w:ind w:left="-2" w:leftChars="-1" w:firstLine="600" w:firstLineChars="250"/>
        <w:rPr>
          <w:rFonts w:hint="eastAsia" w:ascii="宋体" w:hAnsi="宋体"/>
          <w:sz w:val="24"/>
        </w:rPr>
      </w:pPr>
      <w:r>
        <w:rPr>
          <w:rFonts w:hint="eastAsia" w:ascii="宋体" w:hAnsi="宋体"/>
          <w:sz w:val="24"/>
        </w:rPr>
        <w:t>7.楼宇垃圾：日产日清，每日至少两次将楼内产生了生活垃圾运输至校内垃圾站。</w:t>
      </w:r>
    </w:p>
    <w:p>
      <w:pPr>
        <w:spacing w:line="360" w:lineRule="auto"/>
        <w:ind w:left="-2" w:leftChars="-1" w:firstLine="600" w:firstLineChars="250"/>
        <w:rPr>
          <w:rFonts w:hint="eastAsia" w:ascii="宋体" w:hAnsi="宋体"/>
          <w:sz w:val="24"/>
        </w:rPr>
      </w:pPr>
      <w:r>
        <w:rPr>
          <w:rFonts w:hint="eastAsia" w:ascii="宋体" w:hAnsi="宋体"/>
          <w:sz w:val="24"/>
        </w:rPr>
        <w:t>8.时间要求：周一至周日，保证服务质量和标准。</w:t>
      </w:r>
    </w:p>
    <w:p>
      <w:pPr>
        <w:spacing w:line="360" w:lineRule="auto"/>
        <w:ind w:left="-2" w:leftChars="-1" w:firstLine="602" w:firstLineChars="250"/>
        <w:rPr>
          <w:rFonts w:hint="eastAsia" w:ascii="宋体" w:hAnsi="宋体"/>
          <w:b/>
          <w:sz w:val="24"/>
        </w:rPr>
      </w:pPr>
      <w:r>
        <w:rPr>
          <w:rFonts w:hint="eastAsia" w:ascii="宋体" w:hAnsi="宋体"/>
          <w:b/>
          <w:sz w:val="24"/>
        </w:rPr>
        <w:t>（三）外环境</w:t>
      </w:r>
    </w:p>
    <w:p>
      <w:pPr>
        <w:spacing w:line="360" w:lineRule="auto"/>
        <w:ind w:firstLine="600" w:firstLineChars="250"/>
        <w:rPr>
          <w:rFonts w:hint="eastAsia"/>
          <w:sz w:val="24"/>
        </w:rPr>
      </w:pPr>
      <w:r>
        <w:rPr>
          <w:rFonts w:hint="eastAsia" w:ascii="宋体" w:hAnsi="宋体"/>
          <w:sz w:val="24"/>
        </w:rPr>
        <w:t>1.道路、广场、绿地保洁清扫：保证保洁区域内无卫生死角，路面无白色垃圾、积水、砂石、树枝、瓦块等杂物，不得以保代扫，清出的垃圾要装袋运到垃圾箱。清理路面淤泥：雨后及时将路面积水、淤泥和残留物清理干净并将清出杂物装袋，清运人员及时运走，存放时间不得超过2小时；绿地内不准有砖瓦砂石、枯枝、白色垃圾，树上无悬挂物等，折枝、悬挂物等安全隐患</w:t>
      </w:r>
      <w:r>
        <w:rPr>
          <w:rFonts w:hint="eastAsia"/>
          <w:sz w:val="24"/>
        </w:rPr>
        <w:t>问题要及时处理，同时做好相应警示，直至解决方可撤离。</w:t>
      </w:r>
    </w:p>
    <w:p>
      <w:pPr>
        <w:spacing w:line="360" w:lineRule="auto"/>
        <w:ind w:firstLine="600" w:firstLineChars="250"/>
        <w:rPr>
          <w:rFonts w:hint="eastAsia" w:ascii="宋体" w:hAnsi="宋体"/>
          <w:sz w:val="24"/>
        </w:rPr>
      </w:pPr>
      <w:r>
        <w:rPr>
          <w:rFonts w:hint="eastAsia"/>
          <w:sz w:val="24"/>
        </w:rPr>
        <w:t>2.</w:t>
      </w:r>
      <w:r>
        <w:rPr>
          <w:rFonts w:hint="eastAsia" w:ascii="宋体" w:hAnsi="宋体"/>
          <w:sz w:val="24"/>
        </w:rPr>
        <w:t>墙面及树干、树池保洁：区域内非揭示板处不许乱贴乱画；树上不许有钉、挂、晾晒物品、</w:t>
      </w:r>
      <w:r>
        <w:rPr>
          <w:rFonts w:hint="eastAsia"/>
          <w:sz w:val="24"/>
        </w:rPr>
        <w:t>条幅、非法广告、标语、萌蘖枝；树池内不准有枯枝落叶、白色垃圾、粪便、杂物、狗尿苔等，</w:t>
      </w:r>
      <w:r>
        <w:rPr>
          <w:rFonts w:hint="eastAsia" w:ascii="宋体" w:hAnsi="宋体"/>
          <w:sz w:val="24"/>
        </w:rPr>
        <w:t>发现上述情况要及时清理，不留痕迹。</w:t>
      </w:r>
    </w:p>
    <w:p>
      <w:pPr>
        <w:spacing w:line="360" w:lineRule="auto"/>
        <w:ind w:firstLine="600" w:firstLineChars="250"/>
        <w:rPr>
          <w:rFonts w:hint="eastAsia" w:ascii="宋体" w:hAnsi="宋体"/>
          <w:sz w:val="24"/>
        </w:rPr>
      </w:pPr>
      <w:r>
        <w:rPr>
          <w:rFonts w:hint="eastAsia" w:ascii="宋体" w:hAnsi="宋体"/>
          <w:sz w:val="24"/>
        </w:rPr>
        <w:t>3.垃圾箱保洁：垃圾箱箱体随时保持洁净，每天擦拭一遍；垃圾不超过桶体容积的2/3；垃圾箱摆放整齐规范，不准随意更换位置，发现移动立即回复原位。果皮箱每年维修刷油一次，保证其完好可用和观赏效果</w:t>
      </w:r>
    </w:p>
    <w:p>
      <w:pPr>
        <w:spacing w:line="360" w:lineRule="auto"/>
        <w:ind w:firstLine="600" w:firstLineChars="250"/>
        <w:rPr>
          <w:rFonts w:hint="eastAsia" w:ascii="宋体" w:hAnsi="宋体"/>
          <w:sz w:val="24"/>
        </w:rPr>
      </w:pPr>
      <w:r>
        <w:rPr>
          <w:rFonts w:hint="eastAsia" w:ascii="宋体" w:hAnsi="宋体"/>
          <w:sz w:val="24"/>
        </w:rPr>
        <w:t>4. 公共设施保洁：揭示板、栅栏、桌椅、健身器、雕塑等公共设施随时保持其表面干净、整洁、无污渍，雨后1小时内必须清擦一次，每年春季对其进行粉刷保养一次保证完好可用。雨排水井内杂物不准过沉淀井坑，</w:t>
      </w:r>
      <w:r>
        <w:rPr>
          <w:rFonts w:hint="eastAsia"/>
          <w:sz w:val="24"/>
        </w:rPr>
        <w:t>保洁区域内</w:t>
      </w:r>
      <w:r>
        <w:rPr>
          <w:rFonts w:hint="eastAsia" w:ascii="宋体" w:hAnsi="宋体"/>
          <w:sz w:val="24"/>
        </w:rPr>
        <w:t>路面塌陷，设施损坏与缺失立即维修报修。</w:t>
      </w:r>
    </w:p>
    <w:p>
      <w:pPr>
        <w:spacing w:line="360" w:lineRule="auto"/>
        <w:ind w:firstLine="600" w:firstLineChars="250"/>
        <w:rPr>
          <w:rFonts w:hint="eastAsia" w:ascii="宋体" w:hAnsi="宋体"/>
          <w:sz w:val="24"/>
        </w:rPr>
      </w:pPr>
      <w:r>
        <w:rPr>
          <w:rFonts w:hint="eastAsia" w:ascii="宋体" w:hAnsi="宋体"/>
          <w:sz w:val="24"/>
        </w:rPr>
        <w:t>5. 施工场地监控：发现占挖破坏道路、绿地、树木、花卉，挪移、破坏设施等现象要及时制止，要求其必须停工，待问题解决后方可撤离。</w:t>
      </w:r>
    </w:p>
    <w:p>
      <w:pPr>
        <w:spacing w:line="360" w:lineRule="auto"/>
        <w:ind w:firstLine="600" w:firstLineChars="250"/>
        <w:rPr>
          <w:rFonts w:hint="eastAsia" w:ascii="宋体" w:hAnsi="宋体"/>
          <w:sz w:val="24"/>
        </w:rPr>
      </w:pPr>
      <w:r>
        <w:rPr>
          <w:rFonts w:hint="eastAsia" w:ascii="宋体" w:hAnsi="宋体"/>
          <w:sz w:val="24"/>
        </w:rPr>
        <w:t>6. 乱堆乱放管理：对保洁区域内乱堆乱放杂物现象要及时制止，经甲方同意方可临时存放，并要求其保持堆放整齐、场地干净，随时监管。堆放物品拿走后及时清理，恢复卫生标准。</w:t>
      </w:r>
    </w:p>
    <w:p>
      <w:pPr>
        <w:spacing w:line="360" w:lineRule="auto"/>
        <w:ind w:firstLine="600" w:firstLineChars="250"/>
        <w:rPr>
          <w:rFonts w:hint="eastAsia" w:ascii="宋体" w:hAnsi="宋体"/>
          <w:sz w:val="24"/>
        </w:rPr>
      </w:pPr>
      <w:r>
        <w:rPr>
          <w:rFonts w:hint="eastAsia" w:ascii="宋体" w:hAnsi="宋体"/>
          <w:sz w:val="24"/>
        </w:rPr>
        <w:t>7. 垃圾站管理：及时清理散落垃圾；垃圾箱要保持完好可用；垃圾不得在站内存放超过24小时；不允许办公、生活以外的垃圾入站。杜绝垃圾落地现象发生，特殊情况及时上报。</w:t>
      </w:r>
    </w:p>
    <w:p>
      <w:pPr>
        <w:spacing w:line="360" w:lineRule="auto"/>
        <w:ind w:firstLine="600" w:firstLineChars="250"/>
        <w:rPr>
          <w:rFonts w:hint="eastAsia" w:ascii="宋体" w:hAnsi="宋体"/>
          <w:sz w:val="24"/>
        </w:rPr>
      </w:pPr>
      <w:r>
        <w:rPr>
          <w:rFonts w:hint="eastAsia" w:ascii="宋体" w:hAnsi="宋体"/>
          <w:sz w:val="24"/>
        </w:rPr>
        <w:t>8. 工具设备管理：工具库内不准吸烟，常用工具不准随意摆放，必须放到指定地点。</w:t>
      </w:r>
    </w:p>
    <w:p>
      <w:pPr>
        <w:spacing w:line="360" w:lineRule="auto"/>
        <w:ind w:firstLine="600" w:firstLineChars="250"/>
        <w:rPr>
          <w:rFonts w:hint="eastAsia" w:ascii="宋体" w:hAnsi="宋体"/>
          <w:sz w:val="24"/>
        </w:rPr>
      </w:pPr>
      <w:r>
        <w:rPr>
          <w:rFonts w:hint="eastAsia" w:ascii="宋体" w:hAnsi="宋体"/>
          <w:sz w:val="24"/>
        </w:rPr>
        <w:t>9. 作业安全：校园内不允许焚烧垃圾、杂物、落叶等，严禁明火操作。</w:t>
      </w:r>
    </w:p>
    <w:p>
      <w:pPr>
        <w:spacing w:line="360" w:lineRule="auto"/>
        <w:ind w:firstLine="600" w:firstLineChars="250"/>
        <w:rPr>
          <w:rFonts w:hint="eastAsia" w:ascii="宋体" w:hAnsi="宋体"/>
          <w:sz w:val="24"/>
        </w:rPr>
      </w:pPr>
      <w:r>
        <w:rPr>
          <w:rFonts w:hint="eastAsia" w:ascii="宋体" w:hAnsi="宋体"/>
          <w:sz w:val="24"/>
        </w:rPr>
        <w:t>10. 垃圾袋清运：制定计划，按规定时间将各区域、各单位的垃圾送到垃圾站，垃圾点存放的垃圾不准超过2小时。确保垃圾存放点环境整洁，垃圾箱干净，严格遵守工作纪律，不捡拾废品，确保垃圾清运及时。</w:t>
      </w:r>
    </w:p>
    <w:p>
      <w:pPr>
        <w:spacing w:line="360" w:lineRule="auto"/>
        <w:ind w:firstLine="600" w:firstLineChars="250"/>
        <w:rPr>
          <w:rFonts w:hint="eastAsia" w:ascii="宋体" w:hAnsi="宋体"/>
          <w:sz w:val="24"/>
        </w:rPr>
      </w:pPr>
      <w:r>
        <w:rPr>
          <w:rFonts w:hint="eastAsia" w:ascii="宋体" w:hAnsi="宋体"/>
          <w:sz w:val="24"/>
        </w:rPr>
        <w:t>11.按甲方要求，在约定区域内开展校区清雪工作。以雪为令，雪停即扫，人行道和路面上阵雪、小雪1日内；中雪2日；大雪3日内清扫干净。</w:t>
      </w:r>
      <w:r>
        <w:rPr>
          <w:rFonts w:hint="eastAsia"/>
          <w:sz w:val="24"/>
        </w:rPr>
        <w:t>路面、人行道板露出原有铺装及标线，道路两侧露边石无积雪。</w:t>
      </w:r>
    </w:p>
    <w:p>
      <w:pPr>
        <w:spacing w:line="360" w:lineRule="auto"/>
        <w:ind w:left="-2" w:leftChars="-1" w:firstLine="600" w:firstLineChars="250"/>
        <w:rPr>
          <w:rFonts w:hint="eastAsia" w:ascii="宋体" w:hAnsi="宋体"/>
          <w:sz w:val="24"/>
        </w:rPr>
      </w:pPr>
      <w:r>
        <w:rPr>
          <w:rFonts w:hint="eastAsia" w:ascii="宋体" w:hAnsi="宋体"/>
          <w:sz w:val="24"/>
        </w:rPr>
        <w:t>12.时间要求：周一至周日，保证服务质量和标准。</w:t>
      </w:r>
    </w:p>
    <w:p>
      <w:pPr>
        <w:spacing w:line="360" w:lineRule="auto"/>
        <w:ind w:firstLine="602" w:firstLineChars="250"/>
        <w:rPr>
          <w:rFonts w:hint="eastAsia" w:ascii="宋体" w:hAnsi="宋体"/>
          <w:b/>
          <w:sz w:val="24"/>
        </w:rPr>
      </w:pPr>
      <w:r>
        <w:rPr>
          <w:rFonts w:hint="eastAsia" w:ascii="宋体" w:hAnsi="宋体"/>
          <w:b/>
          <w:sz w:val="24"/>
        </w:rPr>
        <w:t>（四）绿化养护</w:t>
      </w:r>
    </w:p>
    <w:p>
      <w:pPr>
        <w:spacing w:line="360" w:lineRule="auto"/>
        <w:ind w:firstLine="600" w:firstLineChars="250"/>
        <w:rPr>
          <w:rFonts w:hint="eastAsia" w:ascii="宋体" w:hAnsi="宋体"/>
          <w:sz w:val="24"/>
        </w:rPr>
      </w:pPr>
      <w:r>
        <w:rPr>
          <w:rFonts w:hint="eastAsia" w:ascii="宋体" w:hAnsi="宋体"/>
          <w:sz w:val="24"/>
        </w:rPr>
        <w:t>1.清理绿地：绿地内不准有砖瓦砂石及枯枝、落叶等垃圾杂物。</w:t>
      </w:r>
    </w:p>
    <w:p>
      <w:pPr>
        <w:spacing w:line="360" w:lineRule="auto"/>
        <w:ind w:firstLine="600" w:firstLineChars="250"/>
        <w:rPr>
          <w:rFonts w:hint="eastAsia" w:ascii="宋体" w:hAnsi="宋体"/>
          <w:sz w:val="24"/>
        </w:rPr>
      </w:pPr>
      <w:r>
        <w:rPr>
          <w:rFonts w:hint="eastAsia" w:ascii="宋体" w:hAnsi="宋体"/>
          <w:sz w:val="24"/>
        </w:rPr>
        <w:t>2.树木修剪：每年春、秋两节对灌木、乔木进行修剪，清除病虫枝；徒长枝，交叉枝等调整树形，提高生长势。</w:t>
      </w:r>
    </w:p>
    <w:p>
      <w:pPr>
        <w:spacing w:line="360" w:lineRule="auto"/>
        <w:ind w:firstLine="600" w:firstLineChars="250"/>
        <w:rPr>
          <w:rFonts w:hint="eastAsia" w:ascii="宋体" w:hAnsi="宋体"/>
          <w:sz w:val="24"/>
        </w:rPr>
      </w:pPr>
      <w:r>
        <w:rPr>
          <w:rFonts w:hint="eastAsia" w:ascii="宋体" w:hAnsi="宋体"/>
          <w:sz w:val="24"/>
        </w:rPr>
        <w:t>3.树木涂白每年春、秋两季及时对乔木进行涂白，涂抹均匀，整齐。</w:t>
      </w:r>
    </w:p>
    <w:p>
      <w:pPr>
        <w:spacing w:line="360" w:lineRule="auto"/>
        <w:ind w:firstLine="600" w:firstLineChars="250"/>
        <w:rPr>
          <w:rFonts w:hint="eastAsia" w:ascii="宋体" w:hAnsi="宋体"/>
          <w:sz w:val="24"/>
        </w:rPr>
      </w:pPr>
      <w:r>
        <w:rPr>
          <w:rFonts w:hint="eastAsia" w:ascii="宋体" w:hAnsi="宋体"/>
          <w:sz w:val="24"/>
        </w:rPr>
        <w:t>4.绿篱修剪及时对绿篱进行修剪，保证其平整度，保证观赏效果。</w:t>
      </w:r>
    </w:p>
    <w:p>
      <w:pPr>
        <w:spacing w:line="360" w:lineRule="auto"/>
        <w:ind w:firstLine="600" w:firstLineChars="250"/>
        <w:rPr>
          <w:rFonts w:hint="eastAsia" w:ascii="宋体" w:hAnsi="宋体"/>
          <w:sz w:val="24"/>
        </w:rPr>
      </w:pPr>
      <w:r>
        <w:rPr>
          <w:rFonts w:hint="eastAsia" w:ascii="宋体" w:hAnsi="宋体"/>
          <w:sz w:val="24"/>
        </w:rPr>
        <w:t>5.草坪修剪夏季对草坪进行定期修剪，保证草坪整齐，高度控制在5—8厘米。</w:t>
      </w:r>
    </w:p>
    <w:p>
      <w:pPr>
        <w:spacing w:line="360" w:lineRule="auto"/>
        <w:ind w:firstLine="600" w:firstLineChars="250"/>
        <w:rPr>
          <w:rFonts w:hint="eastAsia"/>
          <w:sz w:val="24"/>
        </w:rPr>
      </w:pPr>
      <w:r>
        <w:rPr>
          <w:rFonts w:hint="eastAsia" w:ascii="宋体" w:hAnsi="宋体"/>
          <w:sz w:val="24"/>
        </w:rPr>
        <w:t>6.彩化工作</w:t>
      </w:r>
      <w:r>
        <w:rPr>
          <w:rFonts w:hint="eastAsia"/>
          <w:sz w:val="24"/>
        </w:rPr>
        <w:t>做好花坛彩化工作，保证花卉品种存净，无缺秒短空现象，及时补种。</w:t>
      </w:r>
    </w:p>
    <w:p>
      <w:pPr>
        <w:spacing w:line="360" w:lineRule="auto"/>
        <w:ind w:firstLine="600" w:firstLineChars="250"/>
        <w:rPr>
          <w:rFonts w:hint="eastAsia" w:ascii="宋体" w:hAnsi="宋体"/>
          <w:sz w:val="24"/>
        </w:rPr>
      </w:pPr>
      <w:r>
        <w:rPr>
          <w:rFonts w:hint="eastAsia"/>
          <w:sz w:val="24"/>
        </w:rPr>
        <w:t>7.</w:t>
      </w:r>
      <w:r>
        <w:rPr>
          <w:rFonts w:hint="eastAsia" w:ascii="宋体" w:hAnsi="宋体"/>
          <w:sz w:val="24"/>
        </w:rPr>
        <w:t xml:space="preserve"> 病虫害防治：做好植物病虫害监测，及时喷洒药剂进行预防与治疗，杜绝病虫危害，保证植物生长势。</w:t>
      </w:r>
    </w:p>
    <w:p>
      <w:pPr>
        <w:spacing w:line="360" w:lineRule="auto"/>
        <w:ind w:firstLine="600" w:firstLineChars="250"/>
        <w:rPr>
          <w:rFonts w:hint="eastAsia" w:ascii="宋体" w:hAnsi="宋体"/>
          <w:sz w:val="24"/>
        </w:rPr>
      </w:pPr>
      <w:r>
        <w:rPr>
          <w:rFonts w:hint="eastAsia" w:ascii="宋体" w:hAnsi="宋体"/>
          <w:sz w:val="24"/>
        </w:rPr>
        <w:t>8. 降温、降尘及园林植物养护：浇水</w:t>
      </w:r>
      <w:r>
        <w:rPr>
          <w:rFonts w:hint="eastAsia"/>
          <w:sz w:val="24"/>
        </w:rPr>
        <w:t>水车及时对花草树木进行浇灌，保证植物生长水分供应；洒水降尘保证校园环境。</w:t>
      </w:r>
    </w:p>
    <w:p>
      <w:pPr>
        <w:spacing w:line="360" w:lineRule="auto"/>
        <w:ind w:firstLine="570"/>
        <w:rPr>
          <w:rFonts w:hint="eastAsia" w:ascii="宋体" w:hAnsi="宋体"/>
          <w:b/>
          <w:sz w:val="24"/>
        </w:rPr>
      </w:pPr>
      <w:r>
        <w:rPr>
          <w:rFonts w:hint="eastAsia" w:ascii="宋体" w:hAnsi="宋体"/>
          <w:b/>
          <w:sz w:val="24"/>
        </w:rPr>
        <w:t>二、秩序维护</w:t>
      </w:r>
    </w:p>
    <w:p>
      <w:pPr>
        <w:spacing w:line="360" w:lineRule="auto"/>
        <w:ind w:firstLine="480" w:firstLineChars="200"/>
        <w:rPr>
          <w:rFonts w:hint="eastAsia" w:ascii="宋体" w:hAnsi="宋体"/>
          <w:sz w:val="24"/>
        </w:rPr>
      </w:pPr>
      <w:r>
        <w:rPr>
          <w:rFonts w:hint="eastAsia" w:ascii="宋体" w:hAnsi="宋体"/>
          <w:sz w:val="24"/>
        </w:rPr>
        <w:t>1.日常执勤</w:t>
      </w:r>
    </w:p>
    <w:p>
      <w:pPr>
        <w:spacing w:line="360" w:lineRule="auto"/>
        <w:ind w:firstLine="480" w:firstLineChars="200"/>
        <w:rPr>
          <w:rFonts w:hint="eastAsia" w:ascii="宋体" w:hAnsi="宋体"/>
          <w:sz w:val="24"/>
        </w:rPr>
      </w:pPr>
      <w:r>
        <w:rPr>
          <w:rFonts w:hint="eastAsia" w:ascii="宋体" w:hAnsi="宋体"/>
          <w:sz w:val="24"/>
        </w:rPr>
        <w:t>保安人员按照职责坚持门岗执勤，交接班要准时并做好交接班记录，加强进出校园及楼宇人员管理，保证校区物业安全。</w:t>
      </w:r>
    </w:p>
    <w:p>
      <w:pPr>
        <w:spacing w:line="360" w:lineRule="auto"/>
        <w:ind w:firstLine="480" w:firstLineChars="200"/>
        <w:rPr>
          <w:rFonts w:hint="eastAsia" w:ascii="宋体" w:hAnsi="宋体"/>
          <w:sz w:val="24"/>
        </w:rPr>
      </w:pPr>
      <w:r>
        <w:rPr>
          <w:rFonts w:hint="eastAsia" w:ascii="宋体" w:hAnsi="宋体"/>
          <w:sz w:val="24"/>
        </w:rPr>
        <w:t>2.来访验证、登记</w:t>
      </w:r>
    </w:p>
    <w:p>
      <w:pPr>
        <w:spacing w:line="360" w:lineRule="auto"/>
        <w:ind w:firstLine="480" w:firstLineChars="200"/>
        <w:rPr>
          <w:rFonts w:hint="eastAsia" w:ascii="宋体" w:hAnsi="宋体"/>
          <w:sz w:val="24"/>
        </w:rPr>
      </w:pPr>
      <w:r>
        <w:rPr>
          <w:rFonts w:hint="eastAsia" w:ascii="宋体" w:hAnsi="宋体"/>
          <w:sz w:val="24"/>
        </w:rPr>
        <w:t>对楼内常驻人员辨识率三个月以内要达到100%以上，要检查、督促持证进入楼宇；对外来办事人员要严格执行验证登记制度，做好引导服务工作，懂得礼仪知识，讲究文明礼貌；对进出楼内物品要进行检查、登记，严格管理。</w:t>
      </w:r>
    </w:p>
    <w:p>
      <w:pPr>
        <w:spacing w:line="360" w:lineRule="auto"/>
        <w:ind w:firstLine="480" w:firstLineChars="200"/>
        <w:rPr>
          <w:rFonts w:hint="eastAsia" w:ascii="宋体" w:hAnsi="宋体"/>
          <w:sz w:val="24"/>
        </w:rPr>
      </w:pPr>
      <w:r>
        <w:rPr>
          <w:rFonts w:hint="eastAsia" w:ascii="宋体" w:hAnsi="宋体"/>
          <w:sz w:val="24"/>
        </w:rPr>
        <w:t>3.巡视巡查</w:t>
      </w:r>
    </w:p>
    <w:p>
      <w:pPr>
        <w:spacing w:line="360" w:lineRule="auto"/>
        <w:ind w:firstLine="480" w:firstLineChars="200"/>
        <w:rPr>
          <w:rFonts w:hint="eastAsia" w:ascii="宋体" w:hAnsi="宋体"/>
          <w:sz w:val="24"/>
        </w:rPr>
      </w:pPr>
      <w:r>
        <w:rPr>
          <w:rFonts w:hint="eastAsia" w:ascii="宋体" w:hAnsi="宋体"/>
          <w:sz w:val="24"/>
        </w:rPr>
        <w:t>开展日常巡楼工作，每两小时一次，发现问题及时处理，确保不发生责任事故。</w:t>
      </w:r>
    </w:p>
    <w:p>
      <w:pPr>
        <w:spacing w:line="360" w:lineRule="auto"/>
        <w:ind w:firstLine="480" w:firstLineChars="200"/>
        <w:rPr>
          <w:rFonts w:hint="eastAsia" w:ascii="宋体" w:hAnsi="宋体"/>
          <w:sz w:val="24"/>
        </w:rPr>
      </w:pPr>
      <w:r>
        <w:rPr>
          <w:rFonts w:hint="eastAsia" w:ascii="宋体" w:hAnsi="宋体"/>
          <w:sz w:val="24"/>
        </w:rPr>
        <w:t>4.其他突发事件</w:t>
      </w:r>
    </w:p>
    <w:p>
      <w:pPr>
        <w:spacing w:line="360" w:lineRule="auto"/>
        <w:ind w:firstLine="480" w:firstLineChars="200"/>
        <w:rPr>
          <w:rFonts w:hint="eastAsia" w:ascii="宋体" w:hAnsi="宋体"/>
          <w:sz w:val="24"/>
        </w:rPr>
      </w:pPr>
      <w:r>
        <w:rPr>
          <w:rFonts w:hint="eastAsia" w:ascii="宋体" w:hAnsi="宋体"/>
          <w:sz w:val="24"/>
        </w:rPr>
        <w:t>严防刑事案件和治安事件的发生，随时处理紧急情况和制止突发事件，维护工作秩序，确保正常办公。</w:t>
      </w:r>
    </w:p>
    <w:p>
      <w:pPr>
        <w:spacing w:line="360" w:lineRule="auto"/>
        <w:ind w:firstLine="480" w:firstLineChars="200"/>
        <w:rPr>
          <w:rFonts w:hint="eastAsia" w:ascii="宋体" w:hAnsi="宋体"/>
          <w:sz w:val="24"/>
        </w:rPr>
      </w:pPr>
      <w:r>
        <w:rPr>
          <w:rFonts w:hint="eastAsia" w:ascii="宋体" w:hAnsi="宋体"/>
          <w:sz w:val="24"/>
        </w:rPr>
        <w:t>5.时间要求：每日24小时专人值守</w:t>
      </w:r>
    </w:p>
    <w:p>
      <w:pPr>
        <w:spacing w:line="360" w:lineRule="auto"/>
        <w:ind w:firstLine="482" w:firstLineChars="200"/>
        <w:rPr>
          <w:rFonts w:hint="eastAsia" w:ascii="宋体" w:hAnsi="宋体"/>
          <w:b/>
          <w:sz w:val="24"/>
        </w:rPr>
      </w:pPr>
      <w:r>
        <w:rPr>
          <w:rFonts w:hint="eastAsia" w:ascii="宋体" w:hAnsi="宋体"/>
          <w:b/>
          <w:sz w:val="24"/>
        </w:rPr>
        <w:t>三、综合管理与服务</w:t>
      </w:r>
    </w:p>
    <w:p>
      <w:pPr>
        <w:spacing w:line="360" w:lineRule="auto"/>
        <w:ind w:firstLine="480" w:firstLineChars="200"/>
        <w:rPr>
          <w:rFonts w:hint="eastAsia" w:ascii="宋体" w:hAnsi="宋体"/>
          <w:sz w:val="24"/>
        </w:rPr>
      </w:pPr>
      <w:r>
        <w:rPr>
          <w:rFonts w:hint="eastAsia" w:ascii="宋体" w:hAnsi="宋体"/>
          <w:sz w:val="24"/>
        </w:rPr>
        <w:t>对项目档案管理、节能管理、安全管理、服务意见处理、装修管理、搬家管理、卫生防疫及其他延伸服务建立有全面、针对性、实操性强的综合管理方案，确保楼宇服务质量。</w:t>
      </w:r>
    </w:p>
    <w:p>
      <w:pPr>
        <w:spacing w:line="360" w:lineRule="auto"/>
        <w:ind w:firstLine="360" w:firstLineChars="150"/>
        <w:rPr>
          <w:rFonts w:hint="eastAsia" w:ascii="宋体" w:hAnsi="宋体"/>
          <w:sz w:val="24"/>
        </w:rPr>
      </w:pPr>
      <w:r>
        <w:rPr>
          <w:rFonts w:hint="eastAsia" w:ascii="宋体" w:hAnsi="宋体"/>
          <w:sz w:val="24"/>
        </w:rPr>
        <w:t>1.加强楼宇设备实施及资产管理，建立管理档案</w:t>
      </w:r>
    </w:p>
    <w:p>
      <w:pPr>
        <w:spacing w:line="360" w:lineRule="auto"/>
        <w:ind w:firstLine="480" w:firstLineChars="200"/>
        <w:rPr>
          <w:rFonts w:hint="eastAsia" w:ascii="宋体" w:hAnsi="宋体"/>
          <w:sz w:val="24"/>
        </w:rPr>
      </w:pPr>
      <w:r>
        <w:rPr>
          <w:rFonts w:hint="eastAsia" w:ascii="宋体" w:hAnsi="宋体"/>
          <w:sz w:val="24"/>
        </w:rPr>
        <w:t>对楼内所有设备设施、资产加强日常管理，做到使用状态完好、无丢失；对楼宇图纸资料、基础数据、驻楼单位信息、设备设施等进行分类建档、科学管理，书面管理档案与电子档案与甲方共享，随时接受甲方部门调阅。</w:t>
      </w:r>
    </w:p>
    <w:p>
      <w:pPr>
        <w:spacing w:line="360" w:lineRule="auto"/>
        <w:ind w:firstLine="480" w:firstLineChars="200"/>
        <w:rPr>
          <w:rFonts w:hint="eastAsia" w:ascii="宋体" w:hAnsi="宋体"/>
          <w:sz w:val="24"/>
        </w:rPr>
      </w:pPr>
      <w:r>
        <w:rPr>
          <w:rFonts w:hint="eastAsia" w:ascii="宋体" w:hAnsi="宋体"/>
          <w:sz w:val="24"/>
        </w:rPr>
        <w:t>2.开展节能管理</w:t>
      </w:r>
    </w:p>
    <w:p>
      <w:pPr>
        <w:spacing w:line="360" w:lineRule="auto"/>
        <w:ind w:firstLine="480" w:firstLineChars="200"/>
        <w:rPr>
          <w:rFonts w:hint="eastAsia" w:ascii="宋体" w:hAnsi="宋体"/>
          <w:sz w:val="24"/>
        </w:rPr>
      </w:pPr>
      <w:r>
        <w:rPr>
          <w:rFonts w:hint="eastAsia" w:ascii="宋体" w:hAnsi="宋体"/>
          <w:sz w:val="24"/>
        </w:rPr>
        <w:t>做好楼宇节水、节电工作，措施得当，检查到位，无长时间跑冒滴漏问题发生，无人为浪费现象，积极配合学校节能管理部门开展节能宣传，接收学校节能管理部门节能监管及考核。</w:t>
      </w:r>
    </w:p>
    <w:p>
      <w:pPr>
        <w:spacing w:line="360" w:lineRule="auto"/>
        <w:ind w:firstLine="480" w:firstLineChars="200"/>
        <w:rPr>
          <w:rFonts w:hint="eastAsia" w:ascii="宋体" w:hAnsi="宋体"/>
          <w:sz w:val="24"/>
        </w:rPr>
      </w:pPr>
      <w:r>
        <w:rPr>
          <w:rFonts w:hint="eastAsia" w:ascii="宋体" w:hAnsi="宋体"/>
          <w:sz w:val="24"/>
        </w:rPr>
        <w:t>3.加强安全管理</w:t>
      </w:r>
    </w:p>
    <w:p>
      <w:pPr>
        <w:spacing w:line="360" w:lineRule="auto"/>
        <w:ind w:firstLine="480" w:firstLineChars="200"/>
        <w:rPr>
          <w:rFonts w:hint="eastAsia" w:ascii="宋体" w:hAnsi="宋体"/>
          <w:sz w:val="24"/>
        </w:rPr>
      </w:pPr>
      <w:r>
        <w:rPr>
          <w:rFonts w:hint="eastAsia" w:ascii="宋体" w:hAnsi="宋体"/>
          <w:sz w:val="24"/>
        </w:rPr>
        <w:t>组织机构健全，安全制度及应急预案上墙，定期开展安全培训及演练活动，建立消防安全隐患整改台账，逐级签订安全责任状，安全设施正常使用，安全出口畅通，安全责任到人。按学校保密工作要求建立保密档案，定期开展保密安全培训。</w:t>
      </w:r>
    </w:p>
    <w:p>
      <w:pPr>
        <w:spacing w:line="360" w:lineRule="auto"/>
        <w:ind w:firstLine="480" w:firstLineChars="200"/>
        <w:rPr>
          <w:rFonts w:hint="eastAsia" w:ascii="宋体" w:hAnsi="宋体"/>
          <w:sz w:val="24"/>
        </w:rPr>
      </w:pPr>
      <w:r>
        <w:rPr>
          <w:rFonts w:hint="eastAsia" w:ascii="宋体" w:hAnsi="宋体"/>
          <w:sz w:val="24"/>
        </w:rPr>
        <w:t>4.服务意见处理</w:t>
      </w:r>
    </w:p>
    <w:p>
      <w:pPr>
        <w:spacing w:line="360" w:lineRule="auto"/>
        <w:ind w:firstLine="600" w:firstLineChars="250"/>
        <w:rPr>
          <w:rFonts w:hint="eastAsia" w:ascii="宋体" w:hAnsi="宋体"/>
          <w:sz w:val="24"/>
        </w:rPr>
      </w:pPr>
      <w:r>
        <w:rPr>
          <w:rFonts w:hint="eastAsia" w:ascii="宋体" w:hAnsi="宋体"/>
          <w:sz w:val="24"/>
        </w:rPr>
        <w:t>及时反馈、处理师生的意见需求，属于物业服务范围内的意见、需求及时处理解决；超出物业服务范围的要耐心做好解释，必要时与甲方监管单位沟通协调解决。</w:t>
      </w:r>
    </w:p>
    <w:p>
      <w:pPr>
        <w:spacing w:line="360" w:lineRule="auto"/>
        <w:ind w:firstLine="480" w:firstLineChars="200"/>
        <w:rPr>
          <w:rFonts w:hint="eastAsia" w:ascii="宋体" w:hAnsi="宋体"/>
          <w:sz w:val="24"/>
        </w:rPr>
      </w:pPr>
      <w:r>
        <w:rPr>
          <w:rFonts w:hint="eastAsia" w:ascii="宋体" w:hAnsi="宋体"/>
          <w:sz w:val="24"/>
        </w:rPr>
        <w:t>5.楼宇装修管理</w:t>
      </w:r>
    </w:p>
    <w:p>
      <w:pPr>
        <w:spacing w:line="360" w:lineRule="auto"/>
        <w:ind w:firstLine="480" w:firstLineChars="200"/>
        <w:rPr>
          <w:rFonts w:hint="eastAsia" w:ascii="宋体" w:hAnsi="宋体"/>
          <w:sz w:val="24"/>
        </w:rPr>
      </w:pPr>
      <w:r>
        <w:rPr>
          <w:rFonts w:hint="eastAsia" w:ascii="宋体" w:hAnsi="宋体"/>
          <w:sz w:val="24"/>
        </w:rPr>
        <w:t>严格履行学校规定的装修审批手续，制定相应装修管理制度并向驻楼单位公示；及时制止并追偿装修过程中对楼宇公共部位及设施造成的损害；装修垃圾指定存放位置，堆放时间不得超过3天。</w:t>
      </w:r>
    </w:p>
    <w:p>
      <w:pPr>
        <w:spacing w:line="360" w:lineRule="auto"/>
        <w:ind w:firstLine="480" w:firstLineChars="200"/>
        <w:rPr>
          <w:rFonts w:hint="eastAsia" w:ascii="宋体" w:hAnsi="宋体"/>
          <w:sz w:val="24"/>
        </w:rPr>
      </w:pPr>
      <w:r>
        <w:rPr>
          <w:rFonts w:hint="eastAsia" w:ascii="宋体" w:hAnsi="宋体"/>
          <w:sz w:val="24"/>
        </w:rPr>
        <w:t>6.搬家管理</w:t>
      </w:r>
    </w:p>
    <w:p>
      <w:pPr>
        <w:spacing w:line="360" w:lineRule="auto"/>
        <w:ind w:firstLine="480" w:firstLineChars="200"/>
        <w:rPr>
          <w:rFonts w:hint="eastAsia" w:ascii="宋体" w:hAnsi="宋体"/>
          <w:sz w:val="24"/>
        </w:rPr>
      </w:pPr>
      <w:r>
        <w:rPr>
          <w:rFonts w:hint="eastAsia" w:ascii="宋体" w:hAnsi="宋体"/>
          <w:sz w:val="24"/>
        </w:rPr>
        <w:t>建立驻楼单位搬家管理制度，公共区域暂存物品登记制度，禁止长期占用楼宇公共区域及消防通道。</w:t>
      </w:r>
    </w:p>
    <w:p>
      <w:pPr>
        <w:spacing w:line="360" w:lineRule="auto"/>
        <w:ind w:firstLine="480" w:firstLineChars="200"/>
        <w:rPr>
          <w:rFonts w:hint="eastAsia" w:ascii="宋体" w:hAnsi="宋体"/>
          <w:sz w:val="24"/>
        </w:rPr>
      </w:pPr>
      <w:r>
        <w:rPr>
          <w:rFonts w:hint="eastAsia" w:ascii="宋体" w:hAnsi="宋体"/>
          <w:sz w:val="24"/>
        </w:rPr>
        <w:t>7.延伸服务</w:t>
      </w:r>
    </w:p>
    <w:p>
      <w:pPr>
        <w:spacing w:line="360" w:lineRule="auto"/>
        <w:ind w:firstLine="480" w:firstLineChars="200"/>
        <w:rPr>
          <w:rFonts w:hint="eastAsia" w:ascii="宋体" w:hAnsi="宋体"/>
          <w:sz w:val="24"/>
        </w:rPr>
      </w:pPr>
      <w:r>
        <w:rPr>
          <w:rFonts w:hint="eastAsia" w:ascii="宋体" w:hAnsi="宋体"/>
          <w:sz w:val="24"/>
        </w:rPr>
        <w:t>积极配合楼宇大型活动期间的集中清洁、桌椅搬运、秩序维护、宣传等工作，活动期间提供有力的服务保障；在卫生防疫特殊时期，积极配合学校按要求做好疫情防控工作。</w:t>
      </w:r>
    </w:p>
    <w:p>
      <w:pPr>
        <w:spacing w:line="360" w:lineRule="auto"/>
        <w:ind w:firstLine="482" w:firstLineChars="200"/>
        <w:rPr>
          <w:rFonts w:hint="eastAsia" w:ascii="宋体" w:hAnsi="宋体"/>
          <w:b/>
          <w:sz w:val="24"/>
        </w:rPr>
      </w:pPr>
      <w:r>
        <w:rPr>
          <w:rFonts w:hint="eastAsia" w:ascii="宋体" w:hAnsi="宋体"/>
          <w:b/>
          <w:sz w:val="24"/>
        </w:rPr>
        <w:t>四、共用部位、设施设备运行管理。</w:t>
      </w:r>
    </w:p>
    <w:p>
      <w:pPr>
        <w:pStyle w:val="2"/>
        <w:spacing w:line="500" w:lineRule="exact"/>
        <w:ind w:firstLine="480" w:firstLineChars="200"/>
        <w:rPr>
          <w:rFonts w:hint="eastAsia" w:hAnsi="宋体" w:cs="宋体"/>
          <w:bCs/>
          <w:sz w:val="24"/>
          <w:szCs w:val="24"/>
        </w:rPr>
      </w:pPr>
      <w:r>
        <w:rPr>
          <w:rFonts w:hint="eastAsia" w:hAnsi="宋体" w:cs="宋体"/>
          <w:bCs/>
          <w:sz w:val="24"/>
          <w:szCs w:val="24"/>
        </w:rPr>
        <w:t>（一）内容：</w:t>
      </w:r>
    </w:p>
    <w:p>
      <w:pPr>
        <w:pStyle w:val="2"/>
        <w:spacing w:line="500" w:lineRule="exact"/>
        <w:ind w:firstLine="480" w:firstLineChars="200"/>
        <w:rPr>
          <w:rFonts w:hAnsi="宋体" w:cs="宋体"/>
          <w:sz w:val="24"/>
          <w:szCs w:val="24"/>
        </w:rPr>
      </w:pPr>
      <w:r>
        <w:rPr>
          <w:rFonts w:hint="eastAsia" w:hAnsi="宋体" w:cs="宋体"/>
          <w:sz w:val="24"/>
          <w:szCs w:val="24"/>
        </w:rPr>
        <w:t>1.给排水消防系统：主要包括室内给水系统、室内外排水系统、室内消火栓系统、喷淋系统等多个细分系统的设备运行管理与维修。</w:t>
      </w:r>
    </w:p>
    <w:p>
      <w:pPr>
        <w:pStyle w:val="2"/>
        <w:spacing w:line="500" w:lineRule="exact"/>
        <w:ind w:firstLine="480" w:firstLineChars="200"/>
        <w:rPr>
          <w:rFonts w:hAnsi="宋体" w:cs="宋体"/>
          <w:sz w:val="24"/>
          <w:szCs w:val="24"/>
        </w:rPr>
      </w:pPr>
      <w:r>
        <w:rPr>
          <w:rFonts w:hint="eastAsia" w:hAnsi="宋体" w:cs="宋体"/>
          <w:sz w:val="24"/>
          <w:szCs w:val="24"/>
        </w:rPr>
        <w:t>2.供热供暖设施设备、管线运行管理与维修。</w:t>
      </w:r>
    </w:p>
    <w:p>
      <w:pPr>
        <w:pStyle w:val="2"/>
        <w:spacing w:line="500" w:lineRule="exact"/>
        <w:ind w:firstLine="480" w:firstLineChars="200"/>
        <w:rPr>
          <w:rFonts w:hint="eastAsia" w:hAnsi="宋体" w:cs="宋体"/>
          <w:sz w:val="24"/>
          <w:szCs w:val="24"/>
        </w:rPr>
      </w:pPr>
      <w:r>
        <w:rPr>
          <w:rFonts w:hint="eastAsia" w:hAnsi="宋体" w:cs="宋体"/>
          <w:bCs/>
          <w:sz w:val="24"/>
          <w:szCs w:val="24"/>
        </w:rPr>
        <w:t>3.</w:t>
      </w:r>
      <w:r>
        <w:rPr>
          <w:rFonts w:hint="eastAsia" w:hAnsi="宋体" w:cs="宋体"/>
          <w:sz w:val="24"/>
          <w:szCs w:val="24"/>
        </w:rPr>
        <w:t>机电设备设施运行系统：主要包括变电运行系统、电梯运行系统、弱电运行系统、送换风系统、排烟运行系统等</w:t>
      </w:r>
      <w:r>
        <w:rPr>
          <w:rFonts w:hAnsi="宋体" w:cs="宋体"/>
          <w:sz w:val="24"/>
          <w:szCs w:val="24"/>
        </w:rPr>
        <w:t>24</w:t>
      </w:r>
      <w:r>
        <w:rPr>
          <w:rFonts w:hint="eastAsia" w:hAnsi="宋体" w:cs="宋体"/>
          <w:sz w:val="24"/>
          <w:szCs w:val="24"/>
        </w:rPr>
        <w:t>小时运行管理与小修。即对上述供配电、智能化、给排水、消防、电器音响、楼内照明等各专业的全部系统的运行管理与维修。</w:t>
      </w:r>
    </w:p>
    <w:p>
      <w:pPr>
        <w:pStyle w:val="2"/>
        <w:spacing w:line="500" w:lineRule="exact"/>
        <w:ind w:firstLine="480" w:firstLineChars="200"/>
        <w:rPr>
          <w:rFonts w:hint="eastAsia" w:hAnsi="宋体" w:cs="宋体"/>
          <w:sz w:val="24"/>
          <w:szCs w:val="24"/>
        </w:rPr>
      </w:pPr>
      <w:r>
        <w:rPr>
          <w:rFonts w:hint="eastAsia" w:hAnsi="宋体" w:cs="宋体"/>
          <w:sz w:val="24"/>
          <w:szCs w:val="24"/>
        </w:rPr>
        <w:t>4.空调系统发现问题及时联系维保厂家进行维修，及时跟踪解决进度。</w:t>
      </w:r>
    </w:p>
    <w:p>
      <w:pPr>
        <w:pStyle w:val="2"/>
        <w:spacing w:line="500" w:lineRule="exact"/>
        <w:ind w:firstLine="480" w:firstLineChars="200"/>
        <w:rPr>
          <w:rFonts w:hint="eastAsia" w:hAnsi="宋体" w:cs="宋体"/>
          <w:sz w:val="24"/>
          <w:szCs w:val="24"/>
        </w:rPr>
      </w:pPr>
      <w:r>
        <w:rPr>
          <w:rFonts w:hint="eastAsia" w:hAnsi="宋体" w:cs="宋体"/>
          <w:sz w:val="24"/>
          <w:szCs w:val="24"/>
        </w:rPr>
        <w:t>5.天车日常运行管理、维修及检测。</w:t>
      </w:r>
    </w:p>
    <w:p>
      <w:pPr>
        <w:pStyle w:val="2"/>
        <w:spacing w:line="500" w:lineRule="exact"/>
        <w:ind w:firstLine="480" w:firstLineChars="200"/>
        <w:rPr>
          <w:rFonts w:hAnsi="宋体" w:cs="宋体"/>
          <w:bCs/>
          <w:sz w:val="24"/>
          <w:szCs w:val="24"/>
        </w:rPr>
      </w:pPr>
      <w:r>
        <w:rPr>
          <w:rFonts w:hint="eastAsia" w:hAnsi="宋体" w:cs="宋体"/>
          <w:sz w:val="24"/>
          <w:szCs w:val="24"/>
        </w:rPr>
        <w:t>6.楼宇内其他经甲方认定的设施设备运行管理及维修。</w:t>
      </w:r>
    </w:p>
    <w:p>
      <w:pPr>
        <w:spacing w:line="500" w:lineRule="exact"/>
        <w:ind w:left="86" w:leftChars="41" w:firstLine="480" w:firstLineChars="200"/>
        <w:rPr>
          <w:rFonts w:hint="eastAsia" w:hAnsi="宋体" w:cs="宋体"/>
          <w:bCs/>
          <w:sz w:val="24"/>
        </w:rPr>
      </w:pPr>
      <w:r>
        <w:rPr>
          <w:rFonts w:hint="eastAsia" w:hAnsi="宋体" w:cs="宋体"/>
          <w:bCs/>
          <w:sz w:val="24"/>
        </w:rPr>
        <w:t>（二）部分项目标准</w:t>
      </w:r>
    </w:p>
    <w:p>
      <w:pPr>
        <w:spacing w:line="360" w:lineRule="auto"/>
        <w:ind w:firstLine="480" w:firstLineChars="200"/>
        <w:rPr>
          <w:rFonts w:hint="eastAsia" w:ascii="宋体" w:hAnsi="宋体"/>
          <w:sz w:val="24"/>
        </w:rPr>
      </w:pPr>
      <w:r>
        <w:rPr>
          <w:rFonts w:hint="eastAsia" w:ascii="宋体" w:hAnsi="宋体"/>
          <w:sz w:val="24"/>
        </w:rPr>
        <w:t>1.给水运行系统管理标准</w:t>
      </w:r>
    </w:p>
    <w:p>
      <w:pPr>
        <w:spacing w:line="360" w:lineRule="auto"/>
        <w:ind w:firstLine="480" w:firstLineChars="200"/>
        <w:rPr>
          <w:rFonts w:hint="eastAsia" w:ascii="宋体" w:hAnsi="宋体"/>
          <w:sz w:val="24"/>
        </w:rPr>
      </w:pPr>
      <w:r>
        <w:rPr>
          <w:rFonts w:hint="eastAsia" w:ascii="宋体" w:hAnsi="宋体"/>
          <w:sz w:val="24"/>
        </w:rPr>
        <w:t>卫生许可证到期按时年检,证件全而不过期；水箱按要求检验消毒，一年两次；水源地不随便进人，做好运行、安全检查、培训记录，记录规范及时；每日清理泵房卫生，卫生整洁无杂物，无安全隐患；水箱上锁贴封条。</w:t>
      </w:r>
    </w:p>
    <w:p>
      <w:pPr>
        <w:spacing w:line="500" w:lineRule="exact"/>
        <w:ind w:firstLine="480" w:firstLineChars="200"/>
        <w:rPr>
          <w:sz w:val="24"/>
        </w:rPr>
      </w:pPr>
      <w:r>
        <w:rPr>
          <w:rFonts w:hint="eastAsia" w:hAnsi="宋体"/>
          <w:sz w:val="24"/>
        </w:rPr>
        <w:t>2.消防自控系统管理标准</w:t>
      </w:r>
    </w:p>
    <w:p>
      <w:pPr>
        <w:spacing w:line="500" w:lineRule="exact"/>
        <w:ind w:firstLine="480" w:firstLineChars="200"/>
        <w:rPr>
          <w:rFonts w:hint="eastAsia" w:ascii="宋体" w:hAnsi="宋体"/>
          <w:sz w:val="24"/>
        </w:rPr>
      </w:pPr>
      <w:r>
        <w:rPr>
          <w:rFonts w:hint="eastAsia"/>
          <w:sz w:val="24"/>
        </w:rPr>
        <w:t>消防系统、报警系统定期检查维护，发现故障及时报修，确保系统正常运行；制定发生故障应急预，</w:t>
      </w:r>
      <w:r>
        <w:rPr>
          <w:rFonts w:hint="eastAsia" w:ascii="宋体" w:hAnsi="宋体"/>
          <w:sz w:val="24"/>
        </w:rPr>
        <w:t>发现火灾事故或隐患，及时处理并上报学校保卫处；消控室按国家规定设立专职值班人员，持证上岗，建立消控管理制度及流程；24小时对楼宇消防安全状态及弱电运行进行监控，发现问题及时处理，确保不发生责任事故。</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3.供暖系统管理标准：</w:t>
      </w:r>
      <w:r>
        <w:rPr>
          <w:rFonts w:hint="eastAsia" w:hAnsi="宋体" w:cs="宋体"/>
          <w:sz w:val="24"/>
        </w:rPr>
        <w:t>楼宇的供暖管道使用的自动跑风每年需进行一次维修，防止锈蚀失灵；供暖期内</w:t>
      </w:r>
      <w:r>
        <w:rPr>
          <w:rFonts w:hint="eastAsia" w:hAnsi="宋体"/>
          <w:sz w:val="24"/>
        </w:rPr>
        <w:t>每日对供暖管线、阀门、配件、散热器等进行巡视检查，发现问题及时处理；在楼宇公共区及各房间内设立测温点，每日进行测温，形成规范记录，发现温度不达标问题第一时间与热企沟通，确保房间温度≥</w:t>
      </w:r>
      <w:r>
        <w:rPr>
          <w:rFonts w:hAnsi="宋体"/>
          <w:sz w:val="24"/>
        </w:rPr>
        <w:t>20</w:t>
      </w:r>
      <w:r>
        <w:rPr>
          <w:rFonts w:hint="eastAsia" w:hAnsi="宋体"/>
          <w:sz w:val="24"/>
        </w:rPr>
        <w:t>℃，大厅温度≥</w:t>
      </w:r>
      <w:r>
        <w:rPr>
          <w:rFonts w:hAnsi="宋体"/>
          <w:sz w:val="24"/>
        </w:rPr>
        <w:t>16</w:t>
      </w:r>
      <w:r>
        <w:rPr>
          <w:rFonts w:hint="eastAsia" w:hAnsi="宋体"/>
          <w:sz w:val="24"/>
        </w:rPr>
        <w:t>℃；及时对用户投诉及跑冒滴漏问题进行维修处理，接到用户报修</w:t>
      </w:r>
      <w:r>
        <w:rPr>
          <w:rFonts w:hAnsi="宋体"/>
          <w:sz w:val="24"/>
        </w:rPr>
        <w:t>10</w:t>
      </w:r>
      <w:r>
        <w:rPr>
          <w:rFonts w:hint="eastAsia" w:hAnsi="宋体"/>
          <w:sz w:val="24"/>
        </w:rPr>
        <w:t>分钟到现场，当天维修完毕，记录规范完整。</w:t>
      </w:r>
    </w:p>
    <w:p>
      <w:pPr>
        <w:spacing w:line="500" w:lineRule="exact"/>
        <w:ind w:left="86" w:leftChars="41" w:firstLine="480" w:firstLineChars="200"/>
        <w:rPr>
          <w:rFonts w:hAnsi="宋体"/>
          <w:sz w:val="24"/>
        </w:rPr>
      </w:pPr>
      <w:r>
        <w:rPr>
          <w:rFonts w:hint="eastAsia" w:hAnsi="宋体" w:cs="宋体"/>
          <w:bCs/>
          <w:sz w:val="24"/>
        </w:rPr>
        <w:t>4.</w:t>
      </w:r>
      <w:r>
        <w:rPr>
          <w:rFonts w:hint="eastAsia" w:hAnsi="宋体"/>
          <w:sz w:val="24"/>
        </w:rPr>
        <w:t>变电运行系统管理标准</w:t>
      </w:r>
    </w:p>
    <w:p>
      <w:pPr>
        <w:spacing w:line="500" w:lineRule="exact"/>
        <w:ind w:left="86" w:leftChars="41" w:firstLine="480" w:firstLineChars="200"/>
        <w:rPr>
          <w:rFonts w:hint="eastAsia"/>
          <w:sz w:val="24"/>
        </w:rPr>
      </w:pPr>
      <w:r>
        <w:rPr>
          <w:rFonts w:hint="eastAsia"/>
          <w:sz w:val="24"/>
        </w:rPr>
        <w:t>要求投标人具有行政主管部门审核通过的相关资质，相关技术人员，上岗人员具有合格的岗位操作证书，具有两年以上上述系统的管理经历经验；运行值班制度、应急预案明示上墙，并严格执行，规范填写运行记录；防火制度完善，责任落实到人，消防器材齐全，且时效、状态良好，位置摆放规范合理；变电所环境、设备整洁，物品摆放集中有序、规范合理；不得随意停电，检修停电提前通知，楼层或区域提前一天、全楼或大范围停电提前三天通知；线路改造、增容须由用户到招标人相关管理部门办理审批同意文件；变电所需要配备专业仪器、防护器具并定期到电业局进行专业检测。</w:t>
      </w:r>
    </w:p>
    <w:p>
      <w:pPr>
        <w:spacing w:line="480" w:lineRule="exact"/>
        <w:ind w:left="359" w:leftChars="171" w:firstLine="240" w:firstLineChars="100"/>
        <w:rPr>
          <w:sz w:val="24"/>
        </w:rPr>
      </w:pPr>
      <w:r>
        <w:rPr>
          <w:rFonts w:hint="eastAsia"/>
          <w:sz w:val="24"/>
        </w:rPr>
        <w:t>注：变电所仪器、防护器具及专业检测报告明细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1956"/>
        <w:gridCol w:w="876"/>
        <w:gridCol w:w="1358"/>
        <w:gridCol w:w="2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序号</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名称</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数量</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专业检测频次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接地挂线</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高压绝缘手套</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半年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3</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高压绝缘靴</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半年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4</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高压试电笔</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5</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红外线温度仪</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6</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钳型电流表</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7</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兆欧（摇）表</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8</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万用表</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4</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9</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高压保护装置、仪表等二次线检查、校验</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出具结论文件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10</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绝缘电阻测试</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sz w:val="24"/>
              </w:rPr>
              <w:t>2</w:t>
            </w:r>
            <w:r>
              <w:rPr>
                <w:rFonts w:hint="eastAsia"/>
                <w:sz w:val="24"/>
              </w:rPr>
              <w:t>套</w:t>
            </w:r>
          </w:p>
          <w:p>
            <w:pPr>
              <w:spacing w:line="300" w:lineRule="exact"/>
              <w:jc w:val="center"/>
              <w:rPr>
                <w:sz w:val="24"/>
              </w:rPr>
            </w:pPr>
            <w:r>
              <w:rPr>
                <w:rFonts w:hint="eastAsia"/>
                <w:sz w:val="24"/>
              </w:rPr>
              <w:t>系统</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11</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高压柜、变压器清扫</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sz w:val="24"/>
              </w:rPr>
              <w:t>8</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12</w:t>
            </w:r>
          </w:p>
        </w:tc>
        <w:tc>
          <w:tcPr>
            <w:tcW w:w="195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rFonts w:hint="eastAsia"/>
                <w:sz w:val="24"/>
              </w:rPr>
              <w:t>变压器、高压柜预防性实验</w:t>
            </w:r>
          </w:p>
        </w:tc>
        <w:tc>
          <w:tcPr>
            <w:tcW w:w="876" w:type="dxa"/>
            <w:tcBorders>
              <w:top w:val="single" w:color="auto" w:sz="4" w:space="0"/>
              <w:left w:val="single" w:color="auto" w:sz="4" w:space="0"/>
              <w:bottom w:val="single" w:color="auto" w:sz="4" w:space="0"/>
              <w:right w:val="single" w:color="auto" w:sz="4" w:space="0"/>
            </w:tcBorders>
            <w:noWrap w:val="0"/>
            <w:vAlign w:val="center"/>
          </w:tcPr>
          <w:p>
            <w:pPr>
              <w:spacing w:line="300" w:lineRule="exact"/>
              <w:jc w:val="center"/>
              <w:rPr>
                <w:sz w:val="24"/>
              </w:rPr>
            </w:pPr>
            <w:r>
              <w:rPr>
                <w:sz w:val="24"/>
              </w:rPr>
              <w:t>8</w:t>
            </w:r>
            <w:r>
              <w:rPr>
                <w:rFonts w:hint="eastAsia"/>
                <w:sz w:val="24"/>
              </w:rPr>
              <w:t>套</w:t>
            </w:r>
          </w:p>
        </w:tc>
        <w:tc>
          <w:tcPr>
            <w:tcW w:w="1358"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sz w:val="24"/>
              </w:rPr>
              <w:t>2</w:t>
            </w:r>
            <w:r>
              <w:rPr>
                <w:rFonts w:hint="eastAsia"/>
                <w:sz w:val="24"/>
              </w:rPr>
              <w:t>年</w:t>
            </w:r>
            <w:r>
              <w:rPr>
                <w:sz w:val="24"/>
              </w:rPr>
              <w:t>1</w:t>
            </w:r>
            <w:r>
              <w:rPr>
                <w:rFonts w:hint="eastAsia"/>
                <w:sz w:val="24"/>
              </w:rPr>
              <w:t>次</w:t>
            </w:r>
          </w:p>
        </w:tc>
        <w:tc>
          <w:tcPr>
            <w:tcW w:w="2904" w:type="dxa"/>
            <w:tcBorders>
              <w:top w:val="single" w:color="auto" w:sz="4" w:space="0"/>
              <w:left w:val="single" w:color="auto" w:sz="4" w:space="0"/>
              <w:bottom w:val="single" w:color="auto" w:sz="4" w:space="0"/>
              <w:right w:val="single" w:color="auto" w:sz="4" w:space="0"/>
            </w:tcBorders>
            <w:noWrap w:val="0"/>
            <w:vAlign w:val="center"/>
          </w:tcPr>
          <w:p>
            <w:pPr>
              <w:spacing w:line="480" w:lineRule="exact"/>
              <w:jc w:val="center"/>
              <w:rPr>
                <w:sz w:val="24"/>
              </w:rPr>
            </w:pPr>
            <w:r>
              <w:rPr>
                <w:rFonts w:hint="eastAsia"/>
                <w:sz w:val="24"/>
              </w:rPr>
              <w:t>出具报告</w:t>
            </w:r>
          </w:p>
        </w:tc>
      </w:tr>
    </w:tbl>
    <w:p>
      <w:pPr>
        <w:spacing w:line="500" w:lineRule="exact"/>
        <w:ind w:firstLine="480" w:firstLineChars="200"/>
        <w:rPr>
          <w:sz w:val="24"/>
        </w:rPr>
      </w:pPr>
      <w:r>
        <w:rPr>
          <w:rFonts w:hint="eastAsia" w:hAnsi="宋体"/>
          <w:sz w:val="24"/>
        </w:rPr>
        <w:t>5.电梯系统管理标准</w:t>
      </w:r>
    </w:p>
    <w:p>
      <w:pPr>
        <w:spacing w:line="360" w:lineRule="auto"/>
        <w:ind w:firstLine="480" w:firstLineChars="200"/>
        <w:rPr>
          <w:rFonts w:hint="eastAsia" w:hAnsi="宋体"/>
          <w:sz w:val="24"/>
        </w:rPr>
      </w:pPr>
      <w:r>
        <w:rPr>
          <w:rFonts w:hint="eastAsia" w:hAnsi="宋体"/>
          <w:sz w:val="24"/>
        </w:rPr>
        <w:t>按照国家相关法律法规及技术规范要求，</w:t>
      </w:r>
      <w:r>
        <w:rPr>
          <w:rFonts w:hint="eastAsia" w:ascii="宋体" w:hAnsi="宋体"/>
          <w:kern w:val="0"/>
          <w:sz w:val="24"/>
          <w:lang w:bidi="ar"/>
        </w:rPr>
        <w:t>对电梯安全使用负第一责任，承担电梯事故伤亡风险责任，确保电梯使用安全；建立并保管好电梯安全技术档案，包括特种设备维修保养规范所要求的档案材料等；</w:t>
      </w:r>
      <w:r>
        <w:rPr>
          <w:rFonts w:hint="eastAsia" w:hAnsi="宋体"/>
          <w:sz w:val="24"/>
        </w:rPr>
        <w:t>制定出现突发事件或者事故的应急措施与救援预案，依法依规开展应急救援演练，</w:t>
      </w:r>
      <w:r>
        <w:rPr>
          <w:rFonts w:hint="eastAsia" w:ascii="宋体" w:hAnsi="宋体"/>
          <w:kern w:val="0"/>
          <w:sz w:val="24"/>
          <w:lang w:bidi="ar"/>
        </w:rPr>
        <w:t>建立</w:t>
      </w:r>
      <w:r>
        <w:rPr>
          <w:rFonts w:ascii="宋体" w:hAnsi="宋体"/>
          <w:kern w:val="0"/>
          <w:sz w:val="24"/>
          <w:lang w:bidi="ar"/>
        </w:rPr>
        <w:t>24</w:t>
      </w:r>
      <w:r>
        <w:rPr>
          <w:rFonts w:hint="eastAsia" w:ascii="宋体" w:hAnsi="宋体"/>
          <w:kern w:val="0"/>
          <w:sz w:val="24"/>
          <w:lang w:bidi="ar"/>
        </w:rPr>
        <w:t>小时应急救援制度；</w:t>
      </w:r>
      <w:r>
        <w:rPr>
          <w:rFonts w:hint="eastAsia" w:hAnsi="宋体"/>
          <w:sz w:val="24"/>
        </w:rPr>
        <w:t>发现故障及时进行维修；</w:t>
      </w:r>
      <w:r>
        <w:rPr>
          <w:rFonts w:hint="eastAsia"/>
          <w:sz w:val="24"/>
        </w:rPr>
        <w:t>承担由于维修保养不当、维修人员误操作导致的电梯零部件损坏责任，并就所造成的直接、间接经济损失进行赔偿；设立专（兼）职电梯安全员，</w:t>
      </w:r>
      <w:r>
        <w:rPr>
          <w:rFonts w:hint="eastAsia" w:hAnsi="宋体"/>
          <w:sz w:val="24"/>
        </w:rPr>
        <w:t>电梯日常管理落实到人，会处理紧急情况，设立电梯日常巡查制度，确保电梯正常运行；电梯使用高峰期设立安全通道，维持好出入电梯秩序，防止发生事故；轿厢内干净整洁，每日必须清扫，擦拭。</w:t>
      </w:r>
    </w:p>
    <w:p>
      <w:pPr>
        <w:spacing w:line="360" w:lineRule="auto"/>
        <w:ind w:firstLine="480" w:firstLineChars="200"/>
        <w:rPr>
          <w:rFonts w:hint="eastAsia" w:hAnsi="宋体"/>
          <w:sz w:val="24"/>
        </w:rPr>
      </w:pPr>
      <w:r>
        <w:rPr>
          <w:rFonts w:hint="eastAsia" w:hAnsi="宋体"/>
          <w:sz w:val="24"/>
        </w:rPr>
        <w:t>电梯质保期结束后，物业企业要聘请有专业资质的维保单位进行正规维保，签订维保合同时需经学校电梯监管部门进行审议，确定最终维保标准。</w:t>
      </w:r>
    </w:p>
    <w:p>
      <w:pPr>
        <w:widowControl/>
        <w:spacing w:line="336" w:lineRule="auto"/>
        <w:ind w:firstLine="480" w:firstLineChars="200"/>
        <w:jc w:val="left"/>
        <w:rPr>
          <w:rFonts w:hAnsi="宋体"/>
          <w:sz w:val="24"/>
        </w:rPr>
      </w:pPr>
      <w:r>
        <w:rPr>
          <w:rFonts w:hint="eastAsia" w:hAnsi="宋体"/>
          <w:sz w:val="24"/>
        </w:rPr>
        <w:t>电梯确需大修、改造或更新时，由物业企业报学校电梯监管单位进行处理，学校监管单位负责协调筹措、落实大修经费并组织维修。</w:t>
      </w:r>
    </w:p>
    <w:p>
      <w:pPr>
        <w:spacing w:line="360" w:lineRule="auto"/>
        <w:ind w:firstLine="480" w:firstLineChars="200"/>
        <w:rPr>
          <w:rFonts w:hint="eastAsia" w:ascii="宋体" w:hAnsi="宋体"/>
          <w:sz w:val="24"/>
        </w:rPr>
      </w:pPr>
      <w:r>
        <w:rPr>
          <w:rFonts w:hint="eastAsia" w:ascii="宋体" w:hAnsi="宋体"/>
          <w:sz w:val="24"/>
        </w:rPr>
        <w:t>6.天车系统管理标准</w:t>
      </w:r>
    </w:p>
    <w:p>
      <w:pPr>
        <w:spacing w:line="360" w:lineRule="auto"/>
        <w:ind w:firstLine="480" w:firstLineChars="200"/>
        <w:rPr>
          <w:rFonts w:hint="eastAsia" w:ascii="宋体" w:hAnsi="宋体"/>
          <w:sz w:val="24"/>
        </w:rPr>
      </w:pPr>
      <w:r>
        <w:rPr>
          <w:rFonts w:hint="eastAsia" w:ascii="宋体" w:hAnsi="宋体"/>
          <w:sz w:val="24"/>
        </w:rPr>
        <w:t>严格按操作规程监控管理天车使用操作，按照天车日常保养项目，认真做好设备日常保养工作，做好保养记录；负责做好天车的全部卫生清洁工作；天车出现故障时要及时维修，确保天车正常使用；及时做好天车的年检工作。</w:t>
      </w:r>
    </w:p>
    <w:p>
      <w:pPr>
        <w:spacing w:line="360" w:lineRule="auto"/>
        <w:ind w:firstLine="482" w:firstLineChars="200"/>
        <w:rPr>
          <w:rFonts w:hint="eastAsia" w:ascii="宋体" w:hAnsi="宋体"/>
          <w:b/>
          <w:sz w:val="24"/>
        </w:rPr>
      </w:pPr>
      <w:r>
        <w:rPr>
          <w:rFonts w:hint="eastAsia" w:ascii="宋体" w:hAnsi="宋体"/>
          <w:b/>
          <w:sz w:val="24"/>
        </w:rPr>
        <w:t>六、楼宇环境、设备设施维修</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（一）内容</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成立专职维修队伍，负责对楼宇环境、设备设施进行维护维修，同一区域内、单项维修材料费在1000元及以下的小修项目由物业企业负责，小修范围内争议问题及同一区域内单项维修材料超过1000元以上的维修项目报甲方监管单位进行鉴定后确定维修主体。</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（二）部分项目标准</w:t>
      </w:r>
    </w:p>
    <w:p>
      <w:pPr>
        <w:pStyle w:val="2"/>
        <w:spacing w:line="500" w:lineRule="exact"/>
        <w:ind w:left="61" w:leftChars="29" w:firstLine="480" w:firstLineChars="200"/>
        <w:rPr>
          <w:rFonts w:hAnsi="宋体" w:cs="宋体"/>
          <w:sz w:val="24"/>
          <w:szCs w:val="24"/>
        </w:rPr>
      </w:pPr>
      <w:r>
        <w:rPr>
          <w:rFonts w:hint="eastAsia" w:hAnsi="宋体" w:cs="宋体"/>
          <w:sz w:val="24"/>
          <w:szCs w:val="24"/>
        </w:rPr>
        <w:t>1.给排水方面</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1</w:t>
      </w:r>
      <w:r>
        <w:rPr>
          <w:rFonts w:hint="eastAsia" w:hAnsi="宋体" w:cs="宋体"/>
          <w:sz w:val="24"/>
          <w:szCs w:val="24"/>
        </w:rPr>
        <w:t>）每日巡查楼内消防、给排水跑冒滴漏现象，保证给排水设施安全运行。</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2</w:t>
      </w:r>
      <w:r>
        <w:rPr>
          <w:rFonts w:hint="eastAsia" w:hAnsi="宋体" w:cs="宋体"/>
          <w:sz w:val="24"/>
          <w:szCs w:val="24"/>
        </w:rPr>
        <w:t>）</w:t>
      </w:r>
      <w:r>
        <w:rPr>
          <w:rFonts w:hint="eastAsia" w:hAnsi="宋体"/>
          <w:sz w:val="24"/>
          <w:szCs w:val="24"/>
        </w:rPr>
        <w:t>处理给排水故障，日常小修、维修更换给排水设施配件；化粪池及以内过水井、管线清掏疏通；每天有报修、维修记录，填写工票。</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w:t>
      </w:r>
      <w:r>
        <w:rPr>
          <w:rFonts w:hint="eastAsia" w:hAnsi="宋体"/>
          <w:sz w:val="24"/>
          <w:szCs w:val="24"/>
        </w:rPr>
        <w:t>供水设施良好，排水通畅，卫生间无异味，接到报修</w:t>
      </w:r>
      <w:r>
        <w:rPr>
          <w:rFonts w:hAnsi="宋体"/>
          <w:sz w:val="24"/>
          <w:szCs w:val="24"/>
        </w:rPr>
        <w:t>10</w:t>
      </w:r>
      <w:r>
        <w:rPr>
          <w:rFonts w:hint="eastAsia" w:hAnsi="宋体"/>
          <w:sz w:val="24"/>
          <w:szCs w:val="24"/>
        </w:rPr>
        <w:t>分钟到现场，当天维修完毕，记录规范完整。</w:t>
      </w:r>
    </w:p>
    <w:p>
      <w:pPr>
        <w:pStyle w:val="2"/>
        <w:spacing w:line="500" w:lineRule="exact"/>
        <w:ind w:left="61" w:leftChars="29" w:firstLine="600" w:firstLineChars="250"/>
        <w:rPr>
          <w:rFonts w:hAnsi="宋体" w:cs="宋体"/>
          <w:sz w:val="24"/>
          <w:szCs w:val="24"/>
        </w:rPr>
      </w:pPr>
      <w:r>
        <w:rPr>
          <w:rFonts w:hint="eastAsia" w:hAnsi="宋体" w:cs="宋体"/>
          <w:sz w:val="24"/>
          <w:szCs w:val="24"/>
        </w:rPr>
        <w:t>2.供电方面</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1</w:t>
      </w:r>
      <w:r>
        <w:rPr>
          <w:rFonts w:hint="eastAsia" w:hAnsi="宋体" w:cs="宋体"/>
          <w:sz w:val="24"/>
          <w:szCs w:val="24"/>
        </w:rPr>
        <w:t>）接到报修任务后，第一时间到达现场进行维（抢）修并做好记录。</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w:t>
      </w:r>
      <w:r>
        <w:rPr>
          <w:rFonts w:hAnsi="宋体" w:cs="宋体"/>
          <w:sz w:val="24"/>
          <w:szCs w:val="24"/>
        </w:rPr>
        <w:t>2</w:t>
      </w:r>
      <w:r>
        <w:rPr>
          <w:rFonts w:hint="eastAsia" w:hAnsi="宋体" w:cs="宋体"/>
          <w:sz w:val="24"/>
          <w:szCs w:val="24"/>
        </w:rPr>
        <w:t>）每周1次巡查公共区域供电设备设施，发现问题及时修复。</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）做好楼宇配电室、配电柜、配电箱以及附属设备的保养维护工作，保持配电室整体环境整洁无垃圾灰尘等。</w:t>
      </w:r>
    </w:p>
    <w:p>
      <w:pPr>
        <w:pStyle w:val="2"/>
        <w:spacing w:line="500" w:lineRule="exact"/>
        <w:ind w:left="61" w:leftChars="29" w:firstLine="480" w:firstLineChars="200"/>
        <w:rPr>
          <w:rFonts w:hint="eastAsia" w:hAnsi="宋体" w:cs="宋体"/>
          <w:sz w:val="24"/>
          <w:szCs w:val="24"/>
        </w:rPr>
      </w:pPr>
      <w:r>
        <w:rPr>
          <w:rFonts w:hint="eastAsia" w:hAnsi="宋体" w:cs="宋体"/>
          <w:sz w:val="24"/>
          <w:szCs w:val="24"/>
        </w:rPr>
        <w:t>（4）照明、消防等灯具发生损坏及时进行更换。</w:t>
      </w:r>
    </w:p>
    <w:p>
      <w:pPr>
        <w:pStyle w:val="2"/>
        <w:spacing w:line="500" w:lineRule="exact"/>
        <w:ind w:left="61" w:leftChars="29" w:firstLine="480" w:firstLineChars="200"/>
        <w:rPr>
          <w:rFonts w:hAnsi="宋体" w:cs="宋体"/>
          <w:sz w:val="24"/>
          <w:szCs w:val="24"/>
        </w:rPr>
      </w:pPr>
      <w:r>
        <w:rPr>
          <w:rFonts w:hint="eastAsia" w:hAnsi="宋体" w:cs="宋体"/>
          <w:sz w:val="24"/>
          <w:szCs w:val="24"/>
        </w:rPr>
        <w:t>（5）每天进行</w:t>
      </w:r>
      <w:r>
        <w:rPr>
          <w:rFonts w:hAnsi="宋体" w:cs="宋体"/>
          <w:sz w:val="24"/>
          <w:szCs w:val="24"/>
        </w:rPr>
        <w:t>1</w:t>
      </w:r>
      <w:r>
        <w:rPr>
          <w:rFonts w:hint="eastAsia" w:hAnsi="宋体" w:cs="宋体"/>
          <w:sz w:val="24"/>
          <w:szCs w:val="24"/>
        </w:rPr>
        <w:t>次用电防火安全检查，并做好记录。</w:t>
      </w:r>
    </w:p>
    <w:p>
      <w:pPr>
        <w:pStyle w:val="2"/>
        <w:spacing w:line="500" w:lineRule="exact"/>
        <w:ind w:left="61" w:leftChars="29" w:firstLine="720" w:firstLineChars="300"/>
        <w:rPr>
          <w:rFonts w:hAnsi="宋体" w:cs="宋体"/>
          <w:sz w:val="24"/>
          <w:szCs w:val="24"/>
        </w:rPr>
      </w:pPr>
      <w:r>
        <w:rPr>
          <w:rFonts w:hint="eastAsia" w:hAnsi="宋体" w:cs="宋体"/>
          <w:sz w:val="24"/>
          <w:szCs w:val="24"/>
        </w:rPr>
        <w:t>3</w:t>
      </w:r>
      <w:r>
        <w:rPr>
          <w:rFonts w:hAnsi="宋体" w:cs="宋体"/>
          <w:sz w:val="24"/>
          <w:szCs w:val="24"/>
        </w:rPr>
        <w:t>.</w:t>
      </w:r>
      <w:r>
        <w:rPr>
          <w:rFonts w:hint="eastAsia" w:hAnsi="宋体" w:cs="宋体"/>
          <w:sz w:val="24"/>
          <w:szCs w:val="24"/>
        </w:rPr>
        <w:t>电梯及天车管理</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1</w:t>
      </w:r>
      <w:r>
        <w:rPr>
          <w:rFonts w:hint="eastAsia" w:hAnsi="宋体" w:cs="宋体"/>
          <w:sz w:val="24"/>
          <w:szCs w:val="24"/>
        </w:rPr>
        <w:t>）每天上、下午及晚上至少各巡查1次，并做好记录。</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2</w:t>
      </w:r>
      <w:r>
        <w:rPr>
          <w:rFonts w:hint="eastAsia" w:hAnsi="宋体" w:cs="宋体"/>
          <w:sz w:val="24"/>
          <w:szCs w:val="24"/>
        </w:rPr>
        <w:t>）每天</w:t>
      </w:r>
      <w:r>
        <w:rPr>
          <w:rFonts w:hAnsi="宋体" w:cs="宋体"/>
          <w:sz w:val="24"/>
          <w:szCs w:val="24"/>
        </w:rPr>
        <w:t>1</w:t>
      </w:r>
      <w:r>
        <w:rPr>
          <w:rFonts w:hint="eastAsia" w:hAnsi="宋体" w:cs="宋体"/>
          <w:sz w:val="24"/>
          <w:szCs w:val="24"/>
        </w:rPr>
        <w:t>次巡查电梯机房并做好相应记录。</w:t>
      </w:r>
    </w:p>
    <w:p>
      <w:pPr>
        <w:pStyle w:val="2"/>
        <w:spacing w:line="500" w:lineRule="exact"/>
        <w:ind w:left="61" w:leftChars="29" w:firstLine="480" w:firstLineChars="200"/>
        <w:rPr>
          <w:rFonts w:hAnsi="宋体" w:cs="宋体"/>
          <w:sz w:val="24"/>
          <w:szCs w:val="24"/>
        </w:rPr>
      </w:pPr>
      <w:r>
        <w:rPr>
          <w:rFonts w:hint="eastAsia" w:hAnsi="宋体" w:cs="宋体"/>
          <w:sz w:val="24"/>
          <w:szCs w:val="24"/>
        </w:rPr>
        <w:t>（</w:t>
      </w:r>
      <w:r>
        <w:rPr>
          <w:rFonts w:hAnsi="宋体" w:cs="宋体"/>
          <w:sz w:val="24"/>
          <w:szCs w:val="24"/>
        </w:rPr>
        <w:t>3</w:t>
      </w:r>
      <w:r>
        <w:rPr>
          <w:rFonts w:hint="eastAsia" w:hAnsi="宋体" w:cs="宋体"/>
          <w:sz w:val="24"/>
          <w:szCs w:val="24"/>
        </w:rPr>
        <w:t>）巡查中发现故障时，第一时间进行维修。大修、抢修时，必须派出负责人员现场跟踪，并对维修情况做好详细记录备查。</w:t>
      </w:r>
    </w:p>
    <w:p>
      <w:pPr>
        <w:spacing w:line="360" w:lineRule="auto"/>
        <w:ind w:firstLine="840" w:firstLineChars="350"/>
        <w:rPr>
          <w:rFonts w:hint="eastAsia" w:ascii="宋体" w:hAnsi="宋体"/>
          <w:sz w:val="24"/>
        </w:rPr>
      </w:pPr>
      <w:r>
        <w:rPr>
          <w:rFonts w:hint="eastAsia" w:ascii="宋体" w:hAnsi="宋体"/>
          <w:sz w:val="24"/>
        </w:rPr>
        <w:t>4.土建方面</w:t>
      </w:r>
    </w:p>
    <w:p>
      <w:pPr>
        <w:spacing w:line="360" w:lineRule="auto"/>
        <w:ind w:firstLine="480" w:firstLineChars="200"/>
        <w:rPr>
          <w:rFonts w:hint="eastAsia" w:ascii="宋体" w:hAnsi="宋体"/>
          <w:sz w:val="24"/>
        </w:rPr>
      </w:pPr>
      <w:r>
        <w:rPr>
          <w:rFonts w:hint="eastAsia" w:ascii="宋体" w:hAnsi="宋体"/>
          <w:sz w:val="24"/>
        </w:rPr>
        <w:t>（1）房屋机构：梁、板、柱等结构构件检查防护。有巡检维修记录、照片等记载资料。检查梁、板、柱等结构构件，保障外观无变形、开裂等现象。如有问题需采取必要的防护措施，及时申请房屋安全鉴定并告知使用人。按照鉴定结果组织修缮。接到报修10分钟内到场，并在一天内给出解决方案及办法，严格按照方案及时完成维修。 维修期不得超过一周。</w:t>
      </w:r>
    </w:p>
    <w:p>
      <w:pPr>
        <w:spacing w:line="360" w:lineRule="auto"/>
        <w:ind w:firstLine="480" w:firstLineChars="200"/>
        <w:rPr>
          <w:rFonts w:hint="eastAsia" w:ascii="宋体" w:hAnsi="宋体"/>
          <w:sz w:val="24"/>
        </w:rPr>
      </w:pPr>
      <w:r>
        <w:rPr>
          <w:rFonts w:hint="eastAsia" w:ascii="宋体" w:hAnsi="宋体"/>
          <w:sz w:val="24"/>
        </w:rPr>
        <w:t>（2）室内基础设施：室内区域日常维修维护，每天巡视，有报修记录、维修工票。公共部位门窗，保持玻璃、窗台板、门窗配件完好，门、窗开闭灵活。保持楼梯扶手牢固、无锈迹，台阶无缺损。天棚棚面无缺损，墙面、顶面粉刷层无起鼓、剥落，无明显污渍、鞋印，楼内面砖、地砖、踢脚线平整不起壳，无缺损。接到报修10分钟内到场，维修期不得超过一天。</w:t>
      </w:r>
    </w:p>
    <w:p>
      <w:pPr>
        <w:spacing w:line="360" w:lineRule="auto"/>
        <w:ind w:firstLine="480" w:firstLineChars="200"/>
        <w:rPr>
          <w:rFonts w:hint="eastAsia" w:ascii="宋体" w:hAnsi="宋体"/>
          <w:sz w:val="24"/>
        </w:rPr>
      </w:pPr>
      <w:r>
        <w:rPr>
          <w:rFonts w:hint="eastAsia" w:ascii="宋体" w:hAnsi="宋体"/>
          <w:sz w:val="24"/>
        </w:rPr>
        <w:t>（3）卫生间：卫生间地面防水维修维护，每周检测排查，有巡查整改记录、照片、报修记录、维修工票。卫生间防水结构完整，避免发生渗漏、联电等现象。接到报修10分钟内到场，维修期不得超过一天。</w:t>
      </w:r>
    </w:p>
    <w:p>
      <w:pPr>
        <w:spacing w:line="360" w:lineRule="auto"/>
        <w:ind w:firstLine="480" w:firstLineChars="200"/>
        <w:rPr>
          <w:rFonts w:hint="eastAsia" w:ascii="宋体" w:hAnsi="宋体"/>
          <w:sz w:val="24"/>
        </w:rPr>
      </w:pPr>
      <w:r>
        <w:rPr>
          <w:rFonts w:hint="eastAsia" w:ascii="宋体" w:hAnsi="宋体"/>
          <w:sz w:val="24"/>
        </w:rPr>
        <w:t>（4）屋面：屋面防水层、水落管、天沟、檐沟等日常清理维护。每月巡查一次（6月至9月每周检查1次），有巡查整改记录、照片、报修记录、维修工票。保障屋面排水通畅、无积水，水落管无缺损，屋面防水层无破损。冬季保障屋面无积雪，做到即下即清。接到报修10分钟内到场，维修期不得超过一天。</w:t>
      </w:r>
    </w:p>
    <w:p>
      <w:pPr>
        <w:spacing w:line="360" w:lineRule="auto"/>
        <w:ind w:firstLine="480" w:firstLineChars="200"/>
        <w:rPr>
          <w:rFonts w:hint="eastAsia" w:ascii="宋体" w:hAnsi="宋体"/>
          <w:sz w:val="24"/>
        </w:rPr>
      </w:pPr>
      <w:r>
        <w:rPr>
          <w:rFonts w:hint="eastAsia" w:ascii="宋体" w:hAnsi="宋体"/>
          <w:sz w:val="24"/>
        </w:rPr>
        <w:t>（5）室外基础设施：围墙、围栏、护坡、散水坡、外墙体等日常维护。每月巡查一次，有巡查整改记录、照片、报修记录、维修工票。保障围墙、外墙体、护坡、散水坡、台阶等无破损、缺失，铁围栏表面无锈蚀，无残缺，每一年对铁围栏进行涂刷维护。接到报修10分钟内到场，维修期不得超过一天。</w:t>
      </w:r>
    </w:p>
    <w:p>
      <w:pPr>
        <w:spacing w:line="360" w:lineRule="auto"/>
        <w:ind w:firstLine="480" w:firstLineChars="200"/>
        <w:rPr>
          <w:rFonts w:hint="eastAsia" w:ascii="宋体" w:hAnsi="宋体"/>
          <w:sz w:val="24"/>
        </w:rPr>
      </w:pPr>
      <w:r>
        <w:rPr>
          <w:rFonts w:hint="eastAsia" w:ascii="宋体" w:hAnsi="宋体"/>
          <w:sz w:val="24"/>
        </w:rPr>
        <w:t>5.大修问题：报甲方进行鉴定，统一协调处理。</w:t>
      </w:r>
    </w:p>
    <w:p>
      <w:pPr>
        <w:spacing w:line="360" w:lineRule="auto"/>
        <w:jc w:val="center"/>
        <w:rPr>
          <w:rFonts w:hint="eastAsia" w:ascii="宋体" w:hAnsi="宋体"/>
          <w:b/>
          <w:sz w:val="28"/>
          <w:szCs w:val="28"/>
        </w:rPr>
      </w:pPr>
      <w:r>
        <w:rPr>
          <w:rFonts w:hint="eastAsia" w:ascii="宋体" w:hAnsi="宋体"/>
          <w:b/>
          <w:sz w:val="28"/>
          <w:szCs w:val="28"/>
        </w:rPr>
        <w:t>第三章 项目具体要求</w:t>
      </w:r>
    </w:p>
    <w:p>
      <w:pPr>
        <w:spacing w:line="360" w:lineRule="auto"/>
        <w:ind w:firstLine="570"/>
        <w:rPr>
          <w:sz w:val="24"/>
        </w:rPr>
      </w:pPr>
      <w:r>
        <w:rPr>
          <w:rFonts w:hint="eastAsia"/>
          <w:sz w:val="24"/>
        </w:rPr>
        <w:t>因智谷校区各建设项目处于陆续交付使用当中，各服务项目以实际交付接管日期及甲乙双方约定的服务内容核算物业服务费用，投标单位需满足下列要求。</w:t>
      </w:r>
    </w:p>
    <w:p>
      <w:pPr>
        <w:spacing w:line="360" w:lineRule="auto"/>
        <w:ind w:firstLine="482" w:firstLineChars="200"/>
        <w:rPr>
          <w:rFonts w:hint="eastAsia"/>
          <w:b/>
          <w:sz w:val="24"/>
        </w:rPr>
      </w:pPr>
      <w:r>
        <w:rPr>
          <w:rFonts w:hint="eastAsia"/>
          <w:b/>
          <w:sz w:val="24"/>
        </w:rPr>
        <w:t>第一项：人员保障方面</w:t>
      </w:r>
    </w:p>
    <w:p>
      <w:pPr>
        <w:spacing w:line="360" w:lineRule="auto"/>
        <w:ind w:firstLine="480" w:firstLineChars="200"/>
        <w:rPr>
          <w:rFonts w:hint="eastAsia"/>
          <w:sz w:val="24"/>
        </w:rPr>
      </w:pPr>
      <w:r>
        <w:rPr>
          <w:sz w:val="24"/>
        </w:rPr>
        <w:t>1</w:t>
      </w:r>
      <w:r>
        <w:rPr>
          <w:rFonts w:hint="eastAsia"/>
          <w:sz w:val="24"/>
        </w:rPr>
        <w:t>.合同期内按甲方实际需求提供应用于本项目的组织、人员保障。人员薪酬按投标报价价格核算；人员保险按双方约定用工人数及岗位工资标准，参照付款周期期间哈市社保缴纳基数结算。</w:t>
      </w:r>
    </w:p>
    <w:p>
      <w:pPr>
        <w:spacing w:line="360" w:lineRule="auto"/>
        <w:ind w:firstLine="482" w:firstLineChars="200"/>
        <w:jc w:val="center"/>
        <w:rPr>
          <w:rFonts w:hint="eastAsia" w:ascii="宋体" w:hAnsi="宋体"/>
          <w:b/>
          <w:sz w:val="24"/>
        </w:rPr>
      </w:pPr>
      <w:r>
        <w:rPr>
          <w:rFonts w:hint="eastAsia" w:ascii="宋体" w:hAnsi="宋体"/>
          <w:b/>
          <w:sz w:val="24"/>
        </w:rPr>
        <w:t>各岗位人员薪酬投标报价表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705"/>
        <w:gridCol w:w="1515"/>
        <w:gridCol w:w="1707"/>
        <w:gridCol w:w="709"/>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426" w:type="dxa"/>
            <w:noWrap w:val="0"/>
            <w:vAlign w:val="center"/>
          </w:tcPr>
          <w:p>
            <w:pPr>
              <w:jc w:val="center"/>
              <w:rPr>
                <w:szCs w:val="21"/>
              </w:rPr>
            </w:pPr>
            <w:r>
              <w:rPr>
                <w:rFonts w:hint="eastAsia"/>
                <w:szCs w:val="21"/>
              </w:rPr>
              <w:t>序号</w:t>
            </w:r>
          </w:p>
        </w:tc>
        <w:tc>
          <w:tcPr>
            <w:tcW w:w="1705" w:type="dxa"/>
            <w:noWrap w:val="0"/>
            <w:vAlign w:val="center"/>
          </w:tcPr>
          <w:p>
            <w:pPr>
              <w:jc w:val="center"/>
              <w:rPr>
                <w:szCs w:val="21"/>
              </w:rPr>
            </w:pPr>
            <w:r>
              <w:rPr>
                <w:rFonts w:hint="eastAsia"/>
                <w:szCs w:val="21"/>
              </w:rPr>
              <w:t>岗位名称</w:t>
            </w:r>
          </w:p>
        </w:tc>
        <w:tc>
          <w:tcPr>
            <w:tcW w:w="1515" w:type="dxa"/>
            <w:noWrap w:val="0"/>
            <w:vAlign w:val="center"/>
          </w:tcPr>
          <w:p>
            <w:pPr>
              <w:jc w:val="center"/>
              <w:rPr>
                <w:szCs w:val="21"/>
              </w:rPr>
            </w:pPr>
            <w:r>
              <w:rPr>
                <w:rFonts w:hint="eastAsia"/>
                <w:szCs w:val="21"/>
              </w:rPr>
              <w:t>薪酬限额标准（元/月·人）</w:t>
            </w:r>
          </w:p>
        </w:tc>
        <w:tc>
          <w:tcPr>
            <w:tcW w:w="1707" w:type="dxa"/>
            <w:noWrap w:val="0"/>
            <w:vAlign w:val="center"/>
          </w:tcPr>
          <w:p>
            <w:pPr>
              <w:jc w:val="center"/>
              <w:rPr>
                <w:rFonts w:hint="eastAsia"/>
                <w:szCs w:val="21"/>
              </w:rPr>
            </w:pPr>
            <w:r>
              <w:rPr>
                <w:rFonts w:hint="eastAsia"/>
                <w:szCs w:val="21"/>
              </w:rPr>
              <w:t>薪酬投标报价</w:t>
            </w:r>
          </w:p>
          <w:p>
            <w:pPr>
              <w:jc w:val="center"/>
              <w:rPr>
                <w:rFonts w:hint="eastAsia"/>
                <w:szCs w:val="21"/>
              </w:rPr>
            </w:pPr>
            <w:r>
              <w:rPr>
                <w:rFonts w:hint="eastAsia"/>
                <w:szCs w:val="21"/>
              </w:rPr>
              <w:t>（元/月·人）</w:t>
            </w:r>
          </w:p>
        </w:tc>
        <w:tc>
          <w:tcPr>
            <w:tcW w:w="709" w:type="dxa"/>
            <w:noWrap w:val="0"/>
            <w:vAlign w:val="center"/>
          </w:tcPr>
          <w:p>
            <w:pPr>
              <w:jc w:val="center"/>
              <w:rPr>
                <w:szCs w:val="21"/>
              </w:rPr>
            </w:pPr>
            <w:r>
              <w:rPr>
                <w:rFonts w:hint="eastAsia"/>
                <w:szCs w:val="21"/>
              </w:rPr>
              <w:t>权重</w:t>
            </w:r>
          </w:p>
        </w:tc>
        <w:tc>
          <w:tcPr>
            <w:tcW w:w="2460" w:type="dxa"/>
            <w:noWrap w:val="0"/>
            <w:vAlign w:val="center"/>
          </w:tcPr>
          <w:p>
            <w:pPr>
              <w:jc w:val="center"/>
              <w:rPr>
                <w:rFonts w:hint="eastAsia"/>
                <w:szCs w:val="21"/>
              </w:rPr>
            </w:pPr>
            <w:r>
              <w:rPr>
                <w:rFonts w:hint="eastAsia"/>
                <w:szCs w:val="21"/>
              </w:rPr>
              <w:t>薪酬最终报价</w:t>
            </w:r>
          </w:p>
          <w:p>
            <w:pPr>
              <w:jc w:val="center"/>
              <w:rPr>
                <w:szCs w:val="21"/>
              </w:rPr>
            </w:pPr>
            <w:r>
              <w:rPr>
                <w:rFonts w:hint="eastAsia"/>
                <w:szCs w:val="21"/>
              </w:rPr>
              <w:t>（薪酬投标报价×权重）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w:t>
            </w:r>
          </w:p>
        </w:tc>
        <w:tc>
          <w:tcPr>
            <w:tcW w:w="1705" w:type="dxa"/>
            <w:noWrap w:val="0"/>
            <w:vAlign w:val="center"/>
          </w:tcPr>
          <w:p>
            <w:pPr>
              <w:jc w:val="center"/>
              <w:rPr>
                <w:szCs w:val="21"/>
              </w:rPr>
            </w:pPr>
            <w:r>
              <w:rPr>
                <w:rFonts w:hint="eastAsia"/>
                <w:szCs w:val="21"/>
              </w:rPr>
              <w:t>项目经理*</w:t>
            </w:r>
          </w:p>
        </w:tc>
        <w:tc>
          <w:tcPr>
            <w:tcW w:w="1515" w:type="dxa"/>
            <w:noWrap w:val="0"/>
            <w:vAlign w:val="center"/>
          </w:tcPr>
          <w:p>
            <w:pPr>
              <w:jc w:val="center"/>
              <w:rPr>
                <w:szCs w:val="21"/>
              </w:rPr>
            </w:pPr>
            <w:r>
              <w:rPr>
                <w:rFonts w:hint="eastAsia"/>
                <w:szCs w:val="21"/>
              </w:rPr>
              <w:t>6000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w:t>
            </w:r>
          </w:p>
        </w:tc>
        <w:tc>
          <w:tcPr>
            <w:tcW w:w="1705" w:type="dxa"/>
            <w:noWrap w:val="0"/>
            <w:vAlign w:val="center"/>
          </w:tcPr>
          <w:p>
            <w:pPr>
              <w:jc w:val="center"/>
              <w:rPr>
                <w:szCs w:val="21"/>
              </w:rPr>
            </w:pPr>
            <w:r>
              <w:rPr>
                <w:rFonts w:hint="eastAsia"/>
                <w:szCs w:val="21"/>
              </w:rPr>
              <w:t>行政文员*</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3</w:t>
            </w:r>
          </w:p>
        </w:tc>
        <w:tc>
          <w:tcPr>
            <w:tcW w:w="1705" w:type="dxa"/>
            <w:noWrap w:val="0"/>
            <w:vAlign w:val="center"/>
          </w:tcPr>
          <w:p>
            <w:pPr>
              <w:jc w:val="center"/>
              <w:rPr>
                <w:szCs w:val="21"/>
              </w:rPr>
            </w:pPr>
            <w:r>
              <w:rPr>
                <w:rFonts w:hint="eastAsia"/>
                <w:szCs w:val="21"/>
              </w:rPr>
              <w:t>库管*</w:t>
            </w:r>
          </w:p>
        </w:tc>
        <w:tc>
          <w:tcPr>
            <w:tcW w:w="1515" w:type="dxa"/>
            <w:noWrap w:val="0"/>
            <w:vAlign w:val="center"/>
          </w:tcPr>
          <w:p>
            <w:pPr>
              <w:jc w:val="center"/>
              <w:rPr>
                <w:szCs w:val="21"/>
              </w:rPr>
            </w:pPr>
            <w:r>
              <w:rPr>
                <w:rFonts w:hint="eastAsia"/>
                <w:szCs w:val="21"/>
              </w:rPr>
              <w:t>3500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3%</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4</w:t>
            </w:r>
          </w:p>
        </w:tc>
        <w:tc>
          <w:tcPr>
            <w:tcW w:w="1705" w:type="dxa"/>
            <w:noWrap w:val="0"/>
            <w:vAlign w:val="center"/>
          </w:tcPr>
          <w:p>
            <w:pPr>
              <w:jc w:val="center"/>
              <w:rPr>
                <w:szCs w:val="21"/>
              </w:rPr>
            </w:pPr>
            <w:r>
              <w:rPr>
                <w:rFonts w:hint="eastAsia"/>
                <w:szCs w:val="21"/>
              </w:rPr>
              <w:t>工程主管*</w:t>
            </w:r>
          </w:p>
        </w:tc>
        <w:tc>
          <w:tcPr>
            <w:tcW w:w="1515" w:type="dxa"/>
            <w:noWrap w:val="0"/>
            <w:vAlign w:val="center"/>
          </w:tcPr>
          <w:p>
            <w:pPr>
              <w:jc w:val="center"/>
              <w:rPr>
                <w:szCs w:val="21"/>
              </w:rPr>
            </w:pPr>
            <w:r>
              <w:rPr>
                <w:rFonts w:hint="eastAsia"/>
                <w:szCs w:val="21"/>
              </w:rPr>
              <w:t>5000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5</w:t>
            </w:r>
          </w:p>
        </w:tc>
        <w:tc>
          <w:tcPr>
            <w:tcW w:w="1705" w:type="dxa"/>
            <w:noWrap w:val="0"/>
            <w:vAlign w:val="center"/>
          </w:tcPr>
          <w:p>
            <w:pPr>
              <w:jc w:val="center"/>
              <w:rPr>
                <w:szCs w:val="21"/>
              </w:rPr>
            </w:pPr>
            <w:r>
              <w:rPr>
                <w:rFonts w:hint="eastAsia"/>
                <w:szCs w:val="21"/>
              </w:rPr>
              <w:t>维修电工*</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3%</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6</w:t>
            </w:r>
          </w:p>
        </w:tc>
        <w:tc>
          <w:tcPr>
            <w:tcW w:w="1705" w:type="dxa"/>
            <w:noWrap w:val="0"/>
            <w:vAlign w:val="center"/>
          </w:tcPr>
          <w:p>
            <w:pPr>
              <w:jc w:val="center"/>
              <w:rPr>
                <w:szCs w:val="21"/>
              </w:rPr>
            </w:pPr>
            <w:r>
              <w:rPr>
                <w:rFonts w:hint="eastAsia"/>
                <w:szCs w:val="21"/>
              </w:rPr>
              <w:t>弱电</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7</w:t>
            </w:r>
          </w:p>
        </w:tc>
        <w:tc>
          <w:tcPr>
            <w:tcW w:w="1705" w:type="dxa"/>
            <w:noWrap w:val="0"/>
            <w:vAlign w:val="center"/>
          </w:tcPr>
          <w:p>
            <w:pPr>
              <w:jc w:val="center"/>
              <w:rPr>
                <w:szCs w:val="21"/>
              </w:rPr>
            </w:pPr>
            <w:r>
              <w:rPr>
                <w:rFonts w:hint="eastAsia"/>
                <w:szCs w:val="21"/>
              </w:rPr>
              <w:t>高压变电技术员</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8</w:t>
            </w:r>
          </w:p>
        </w:tc>
        <w:tc>
          <w:tcPr>
            <w:tcW w:w="1705" w:type="dxa"/>
            <w:noWrap w:val="0"/>
            <w:vAlign w:val="center"/>
          </w:tcPr>
          <w:p>
            <w:pPr>
              <w:jc w:val="center"/>
              <w:rPr>
                <w:szCs w:val="21"/>
              </w:rPr>
            </w:pPr>
            <w:r>
              <w:rPr>
                <w:rFonts w:hint="eastAsia"/>
                <w:szCs w:val="21"/>
              </w:rPr>
              <w:t>水暖维修工*</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5%</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9</w:t>
            </w:r>
          </w:p>
        </w:tc>
        <w:tc>
          <w:tcPr>
            <w:tcW w:w="1705" w:type="dxa"/>
            <w:noWrap w:val="0"/>
            <w:vAlign w:val="center"/>
          </w:tcPr>
          <w:p>
            <w:pPr>
              <w:jc w:val="center"/>
              <w:rPr>
                <w:szCs w:val="21"/>
              </w:rPr>
            </w:pPr>
            <w:r>
              <w:rPr>
                <w:rFonts w:hint="eastAsia"/>
                <w:szCs w:val="21"/>
              </w:rPr>
              <w:t>水暖值班</w:t>
            </w:r>
          </w:p>
        </w:tc>
        <w:tc>
          <w:tcPr>
            <w:tcW w:w="1515" w:type="dxa"/>
            <w:noWrap w:val="0"/>
            <w:vAlign w:val="center"/>
          </w:tcPr>
          <w:p>
            <w:pPr>
              <w:jc w:val="center"/>
              <w:rPr>
                <w:szCs w:val="21"/>
              </w:rPr>
            </w:pPr>
            <w:r>
              <w:rPr>
                <w:rFonts w:hint="eastAsia"/>
                <w:szCs w:val="21"/>
              </w:rPr>
              <w:t>3000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5%</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10</w:t>
            </w:r>
          </w:p>
        </w:tc>
        <w:tc>
          <w:tcPr>
            <w:tcW w:w="1705" w:type="dxa"/>
            <w:noWrap w:val="0"/>
            <w:vAlign w:val="center"/>
          </w:tcPr>
          <w:p>
            <w:pPr>
              <w:jc w:val="center"/>
              <w:rPr>
                <w:szCs w:val="21"/>
              </w:rPr>
            </w:pPr>
            <w:r>
              <w:rPr>
                <w:rFonts w:hint="eastAsia"/>
                <w:szCs w:val="21"/>
              </w:rPr>
              <w:t>暖通空调</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pPr>
          </w:p>
        </w:tc>
        <w:tc>
          <w:tcPr>
            <w:tcW w:w="709" w:type="dxa"/>
            <w:noWrap w:val="0"/>
            <w:vAlign w:val="top"/>
          </w:tcPr>
          <w:p>
            <w:pPr>
              <w:jc w:val="cente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11</w:t>
            </w:r>
          </w:p>
        </w:tc>
        <w:tc>
          <w:tcPr>
            <w:tcW w:w="1705" w:type="dxa"/>
            <w:noWrap w:val="0"/>
            <w:vAlign w:val="center"/>
          </w:tcPr>
          <w:p>
            <w:pPr>
              <w:jc w:val="center"/>
              <w:rPr>
                <w:szCs w:val="21"/>
              </w:rPr>
            </w:pPr>
            <w:r>
              <w:rPr>
                <w:rFonts w:hint="eastAsia"/>
                <w:szCs w:val="21"/>
              </w:rPr>
              <w:t>秩序主管*</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pPr>
          </w:p>
        </w:tc>
        <w:tc>
          <w:tcPr>
            <w:tcW w:w="709" w:type="dxa"/>
            <w:noWrap w:val="0"/>
            <w:vAlign w:val="top"/>
          </w:tcPr>
          <w:p>
            <w:pPr>
              <w:jc w:val="cente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12</w:t>
            </w:r>
          </w:p>
        </w:tc>
        <w:tc>
          <w:tcPr>
            <w:tcW w:w="1705" w:type="dxa"/>
            <w:noWrap w:val="0"/>
            <w:vAlign w:val="center"/>
          </w:tcPr>
          <w:p>
            <w:pPr>
              <w:jc w:val="center"/>
              <w:rPr>
                <w:szCs w:val="21"/>
              </w:rPr>
            </w:pPr>
            <w:r>
              <w:rPr>
                <w:rFonts w:hint="eastAsia"/>
                <w:szCs w:val="21"/>
              </w:rPr>
              <w:t>保安员*</w:t>
            </w:r>
          </w:p>
        </w:tc>
        <w:tc>
          <w:tcPr>
            <w:tcW w:w="1515" w:type="dxa"/>
            <w:noWrap w:val="0"/>
            <w:vAlign w:val="center"/>
          </w:tcPr>
          <w:p>
            <w:pPr>
              <w:jc w:val="center"/>
              <w:rPr>
                <w:szCs w:val="21"/>
              </w:rPr>
            </w:pPr>
            <w:r>
              <w:rPr>
                <w:rFonts w:hint="eastAsia"/>
                <w:szCs w:val="21"/>
              </w:rPr>
              <w:t>3500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20%</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13</w:t>
            </w:r>
          </w:p>
        </w:tc>
        <w:tc>
          <w:tcPr>
            <w:tcW w:w="1705" w:type="dxa"/>
            <w:noWrap w:val="0"/>
            <w:vAlign w:val="center"/>
          </w:tcPr>
          <w:p>
            <w:pPr>
              <w:jc w:val="center"/>
              <w:rPr>
                <w:szCs w:val="21"/>
              </w:rPr>
            </w:pPr>
            <w:r>
              <w:rPr>
                <w:rFonts w:hint="eastAsia"/>
                <w:szCs w:val="21"/>
              </w:rPr>
              <w:t>消控值班</w:t>
            </w:r>
          </w:p>
        </w:tc>
        <w:tc>
          <w:tcPr>
            <w:tcW w:w="1515" w:type="dxa"/>
            <w:noWrap w:val="0"/>
            <w:vAlign w:val="center"/>
          </w:tcPr>
          <w:p>
            <w:pPr>
              <w:jc w:val="center"/>
              <w:rPr>
                <w:szCs w:val="21"/>
              </w:rPr>
            </w:pPr>
            <w:r>
              <w:rPr>
                <w:rFonts w:hint="eastAsia"/>
                <w:szCs w:val="21"/>
              </w:rPr>
              <w:t>3500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5%</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14</w:t>
            </w:r>
          </w:p>
        </w:tc>
        <w:tc>
          <w:tcPr>
            <w:tcW w:w="1705" w:type="dxa"/>
            <w:noWrap w:val="0"/>
            <w:vAlign w:val="center"/>
          </w:tcPr>
          <w:p>
            <w:pPr>
              <w:jc w:val="center"/>
              <w:rPr>
                <w:szCs w:val="21"/>
              </w:rPr>
            </w:pPr>
            <w:r>
              <w:rPr>
                <w:rFonts w:hint="eastAsia"/>
                <w:szCs w:val="21"/>
              </w:rPr>
              <w:t>环境主管*</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15</w:t>
            </w:r>
          </w:p>
        </w:tc>
        <w:tc>
          <w:tcPr>
            <w:tcW w:w="1705" w:type="dxa"/>
            <w:noWrap w:val="0"/>
            <w:vAlign w:val="center"/>
          </w:tcPr>
          <w:p>
            <w:pPr>
              <w:jc w:val="center"/>
              <w:rPr>
                <w:szCs w:val="21"/>
              </w:rPr>
            </w:pPr>
            <w:r>
              <w:rPr>
                <w:rFonts w:hint="eastAsia"/>
                <w:szCs w:val="21"/>
              </w:rPr>
              <w:t>室内保洁员*</w:t>
            </w:r>
          </w:p>
        </w:tc>
        <w:tc>
          <w:tcPr>
            <w:tcW w:w="1515" w:type="dxa"/>
            <w:noWrap w:val="0"/>
            <w:vAlign w:val="center"/>
          </w:tcPr>
          <w:p>
            <w:pPr>
              <w:jc w:val="center"/>
              <w:rPr>
                <w:szCs w:val="21"/>
              </w:rPr>
            </w:pPr>
            <w:r>
              <w:rPr>
                <w:rFonts w:hint="eastAsia"/>
                <w:szCs w:val="21"/>
              </w:rPr>
              <w:t>2800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20%</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16</w:t>
            </w:r>
          </w:p>
        </w:tc>
        <w:tc>
          <w:tcPr>
            <w:tcW w:w="1705" w:type="dxa"/>
            <w:noWrap w:val="0"/>
            <w:vAlign w:val="center"/>
          </w:tcPr>
          <w:p>
            <w:pPr>
              <w:jc w:val="center"/>
              <w:rPr>
                <w:szCs w:val="21"/>
              </w:rPr>
            </w:pPr>
            <w:r>
              <w:rPr>
                <w:rFonts w:hint="eastAsia"/>
                <w:szCs w:val="21"/>
              </w:rPr>
              <w:t>室外保洁员*</w:t>
            </w:r>
          </w:p>
        </w:tc>
        <w:tc>
          <w:tcPr>
            <w:tcW w:w="1515" w:type="dxa"/>
            <w:noWrap w:val="0"/>
            <w:vAlign w:val="center"/>
          </w:tcPr>
          <w:p>
            <w:pPr>
              <w:jc w:val="center"/>
              <w:rPr>
                <w:szCs w:val="21"/>
              </w:rPr>
            </w:pPr>
            <w:r>
              <w:rPr>
                <w:rFonts w:hint="eastAsia"/>
                <w:szCs w:val="21"/>
              </w:rPr>
              <w:t>3000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5%</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17</w:t>
            </w:r>
          </w:p>
        </w:tc>
        <w:tc>
          <w:tcPr>
            <w:tcW w:w="1705" w:type="dxa"/>
            <w:noWrap w:val="0"/>
            <w:vAlign w:val="center"/>
          </w:tcPr>
          <w:p>
            <w:pPr>
              <w:jc w:val="center"/>
              <w:rPr>
                <w:szCs w:val="21"/>
              </w:rPr>
            </w:pPr>
            <w:r>
              <w:rPr>
                <w:rFonts w:hint="eastAsia"/>
                <w:szCs w:val="21"/>
              </w:rPr>
              <w:t>绿化工</w:t>
            </w:r>
          </w:p>
        </w:tc>
        <w:tc>
          <w:tcPr>
            <w:tcW w:w="1515" w:type="dxa"/>
            <w:noWrap w:val="0"/>
            <w:vAlign w:val="center"/>
          </w:tcPr>
          <w:p>
            <w:pPr>
              <w:jc w:val="center"/>
              <w:rPr>
                <w:szCs w:val="21"/>
              </w:rPr>
            </w:pPr>
            <w:r>
              <w:rPr>
                <w:rFonts w:hint="eastAsia"/>
                <w:szCs w:val="21"/>
              </w:rPr>
              <w:t>3000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5%</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18</w:t>
            </w:r>
          </w:p>
        </w:tc>
        <w:tc>
          <w:tcPr>
            <w:tcW w:w="1705" w:type="dxa"/>
            <w:noWrap w:val="0"/>
            <w:vAlign w:val="center"/>
          </w:tcPr>
          <w:p>
            <w:pPr>
              <w:jc w:val="center"/>
              <w:rPr>
                <w:szCs w:val="21"/>
              </w:rPr>
            </w:pPr>
            <w:r>
              <w:rPr>
                <w:rFonts w:hint="eastAsia"/>
                <w:szCs w:val="21"/>
              </w:rPr>
              <w:t>垃圾清运工*</w:t>
            </w:r>
          </w:p>
        </w:tc>
        <w:tc>
          <w:tcPr>
            <w:tcW w:w="1515" w:type="dxa"/>
            <w:noWrap w:val="0"/>
            <w:vAlign w:val="center"/>
          </w:tcPr>
          <w:p>
            <w:pPr>
              <w:jc w:val="center"/>
              <w:rPr>
                <w:szCs w:val="21"/>
              </w:rPr>
            </w:pPr>
            <w:r>
              <w:rPr>
                <w:rFonts w:hint="eastAsia"/>
                <w:szCs w:val="21"/>
              </w:rPr>
              <w:t>4500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19</w:t>
            </w:r>
          </w:p>
        </w:tc>
        <w:tc>
          <w:tcPr>
            <w:tcW w:w="1705" w:type="dxa"/>
            <w:noWrap w:val="0"/>
            <w:vAlign w:val="center"/>
          </w:tcPr>
          <w:p>
            <w:pPr>
              <w:jc w:val="center"/>
              <w:rPr>
                <w:szCs w:val="21"/>
              </w:rPr>
            </w:pPr>
            <w:r>
              <w:rPr>
                <w:rFonts w:hint="eastAsia"/>
                <w:szCs w:val="21"/>
              </w:rPr>
              <w:t>会服/客房主管</w:t>
            </w:r>
          </w:p>
        </w:tc>
        <w:tc>
          <w:tcPr>
            <w:tcW w:w="1515" w:type="dxa"/>
            <w:noWrap w:val="0"/>
            <w:vAlign w:val="center"/>
          </w:tcPr>
          <w:p>
            <w:pPr>
              <w:jc w:val="center"/>
              <w:rPr>
                <w:szCs w:val="21"/>
              </w:rPr>
            </w:pPr>
            <w:r>
              <w:rPr>
                <w:rFonts w:hint="eastAsia"/>
                <w:szCs w:val="21"/>
              </w:rPr>
              <w:t>5000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2%</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20</w:t>
            </w:r>
          </w:p>
        </w:tc>
        <w:tc>
          <w:tcPr>
            <w:tcW w:w="1705" w:type="dxa"/>
            <w:noWrap w:val="0"/>
            <w:vAlign w:val="center"/>
          </w:tcPr>
          <w:p>
            <w:pPr>
              <w:jc w:val="center"/>
              <w:rPr>
                <w:szCs w:val="21"/>
              </w:rPr>
            </w:pPr>
            <w:r>
              <w:rPr>
                <w:rFonts w:hint="eastAsia"/>
                <w:szCs w:val="21"/>
              </w:rPr>
              <w:t>前台</w:t>
            </w:r>
          </w:p>
        </w:tc>
        <w:tc>
          <w:tcPr>
            <w:tcW w:w="1515" w:type="dxa"/>
            <w:noWrap w:val="0"/>
            <w:vAlign w:val="center"/>
          </w:tcPr>
          <w:p>
            <w:pPr>
              <w:jc w:val="center"/>
              <w:rPr>
                <w:szCs w:val="21"/>
              </w:rPr>
            </w:pPr>
            <w:r>
              <w:rPr>
                <w:rFonts w:hint="eastAsia"/>
                <w:szCs w:val="21"/>
              </w:rPr>
              <w:t>3500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21</w:t>
            </w:r>
          </w:p>
        </w:tc>
        <w:tc>
          <w:tcPr>
            <w:tcW w:w="1705" w:type="dxa"/>
            <w:noWrap w:val="0"/>
            <w:vAlign w:val="center"/>
          </w:tcPr>
          <w:p>
            <w:pPr>
              <w:jc w:val="center"/>
              <w:rPr>
                <w:szCs w:val="21"/>
              </w:rPr>
            </w:pPr>
            <w:r>
              <w:rPr>
                <w:rFonts w:hint="eastAsia"/>
                <w:szCs w:val="21"/>
              </w:rPr>
              <w:t>清洗员</w:t>
            </w:r>
          </w:p>
        </w:tc>
        <w:tc>
          <w:tcPr>
            <w:tcW w:w="1515" w:type="dxa"/>
            <w:noWrap w:val="0"/>
            <w:vAlign w:val="center"/>
          </w:tcPr>
          <w:p>
            <w:pPr>
              <w:jc w:val="center"/>
              <w:rPr>
                <w:szCs w:val="21"/>
              </w:rPr>
            </w:pPr>
            <w:r>
              <w:rPr>
                <w:rFonts w:hint="eastAsia"/>
                <w:szCs w:val="21"/>
              </w:rPr>
              <w:t>2800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22</w:t>
            </w:r>
          </w:p>
        </w:tc>
        <w:tc>
          <w:tcPr>
            <w:tcW w:w="1705" w:type="dxa"/>
            <w:noWrap w:val="0"/>
            <w:vAlign w:val="center"/>
          </w:tcPr>
          <w:p>
            <w:pPr>
              <w:jc w:val="center"/>
              <w:rPr>
                <w:szCs w:val="21"/>
              </w:rPr>
            </w:pPr>
            <w:r>
              <w:rPr>
                <w:rFonts w:hint="eastAsia"/>
                <w:szCs w:val="21"/>
              </w:rPr>
              <w:t>主厨</w:t>
            </w:r>
          </w:p>
        </w:tc>
        <w:tc>
          <w:tcPr>
            <w:tcW w:w="1515" w:type="dxa"/>
            <w:noWrap w:val="0"/>
            <w:vAlign w:val="center"/>
          </w:tcPr>
          <w:p>
            <w:pPr>
              <w:jc w:val="center"/>
              <w:rPr>
                <w:szCs w:val="21"/>
              </w:rPr>
            </w:pPr>
            <w:r>
              <w:rPr>
                <w:rFonts w:hint="eastAsia"/>
                <w:szCs w:val="21"/>
              </w:rPr>
              <w:t>7500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23</w:t>
            </w:r>
          </w:p>
        </w:tc>
        <w:tc>
          <w:tcPr>
            <w:tcW w:w="1705" w:type="dxa"/>
            <w:noWrap w:val="0"/>
            <w:vAlign w:val="center"/>
          </w:tcPr>
          <w:p>
            <w:pPr>
              <w:jc w:val="center"/>
              <w:rPr>
                <w:szCs w:val="21"/>
              </w:rPr>
            </w:pPr>
            <w:r>
              <w:rPr>
                <w:rFonts w:hint="eastAsia"/>
                <w:szCs w:val="21"/>
              </w:rPr>
              <w:t>厨师</w:t>
            </w:r>
          </w:p>
        </w:tc>
        <w:tc>
          <w:tcPr>
            <w:tcW w:w="1515" w:type="dxa"/>
            <w:noWrap w:val="0"/>
            <w:vAlign w:val="center"/>
          </w:tcPr>
          <w:p>
            <w:pPr>
              <w:jc w:val="center"/>
              <w:rPr>
                <w:szCs w:val="21"/>
              </w:rPr>
            </w:pPr>
            <w:r>
              <w:rPr>
                <w:rFonts w:hint="eastAsia"/>
                <w:szCs w:val="21"/>
              </w:rPr>
              <w:t>6000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24</w:t>
            </w:r>
          </w:p>
        </w:tc>
        <w:tc>
          <w:tcPr>
            <w:tcW w:w="1705" w:type="dxa"/>
            <w:noWrap w:val="0"/>
            <w:vAlign w:val="center"/>
          </w:tcPr>
          <w:p>
            <w:pPr>
              <w:jc w:val="center"/>
              <w:rPr>
                <w:szCs w:val="21"/>
              </w:rPr>
            </w:pPr>
            <w:r>
              <w:rPr>
                <w:rFonts w:hint="eastAsia"/>
                <w:szCs w:val="21"/>
              </w:rPr>
              <w:t>砧板（切配）</w:t>
            </w:r>
          </w:p>
        </w:tc>
        <w:tc>
          <w:tcPr>
            <w:tcW w:w="1515" w:type="dxa"/>
            <w:noWrap w:val="0"/>
            <w:vAlign w:val="center"/>
          </w:tcPr>
          <w:p>
            <w:pPr>
              <w:jc w:val="center"/>
              <w:rPr>
                <w:szCs w:val="21"/>
              </w:rPr>
            </w:pPr>
            <w:r>
              <w:rPr>
                <w:rFonts w:hint="eastAsia"/>
                <w:szCs w:val="21"/>
              </w:rPr>
              <w:t>4000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25</w:t>
            </w:r>
          </w:p>
        </w:tc>
        <w:tc>
          <w:tcPr>
            <w:tcW w:w="1705" w:type="dxa"/>
            <w:noWrap w:val="0"/>
            <w:vAlign w:val="center"/>
          </w:tcPr>
          <w:p>
            <w:pPr>
              <w:jc w:val="center"/>
              <w:rPr>
                <w:szCs w:val="21"/>
              </w:rPr>
            </w:pPr>
            <w:r>
              <w:rPr>
                <w:rFonts w:hint="eastAsia"/>
                <w:szCs w:val="21"/>
              </w:rPr>
              <w:t>面案</w:t>
            </w:r>
          </w:p>
        </w:tc>
        <w:tc>
          <w:tcPr>
            <w:tcW w:w="1515" w:type="dxa"/>
            <w:noWrap w:val="0"/>
            <w:vAlign w:val="center"/>
          </w:tcPr>
          <w:p>
            <w:pPr>
              <w:jc w:val="center"/>
              <w:rPr>
                <w:szCs w:val="21"/>
              </w:rPr>
            </w:pPr>
            <w:r>
              <w:rPr>
                <w:rFonts w:hint="eastAsia"/>
                <w:szCs w:val="21"/>
              </w:rPr>
              <w:t>4500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26</w:t>
            </w:r>
          </w:p>
        </w:tc>
        <w:tc>
          <w:tcPr>
            <w:tcW w:w="1705" w:type="dxa"/>
            <w:noWrap w:val="0"/>
            <w:vAlign w:val="center"/>
          </w:tcPr>
          <w:p>
            <w:pPr>
              <w:jc w:val="center"/>
              <w:rPr>
                <w:szCs w:val="21"/>
              </w:rPr>
            </w:pPr>
            <w:r>
              <w:rPr>
                <w:rFonts w:hint="eastAsia"/>
                <w:szCs w:val="21"/>
              </w:rPr>
              <w:t>杂工</w:t>
            </w:r>
          </w:p>
        </w:tc>
        <w:tc>
          <w:tcPr>
            <w:tcW w:w="1515" w:type="dxa"/>
            <w:noWrap w:val="0"/>
            <w:vAlign w:val="center"/>
          </w:tcPr>
          <w:p>
            <w:pPr>
              <w:jc w:val="center"/>
              <w:rPr>
                <w:szCs w:val="21"/>
              </w:rPr>
            </w:pPr>
            <w:r>
              <w:rPr>
                <w:rFonts w:hint="eastAsia"/>
                <w:szCs w:val="21"/>
              </w:rPr>
              <w:t>2800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27</w:t>
            </w:r>
          </w:p>
        </w:tc>
        <w:tc>
          <w:tcPr>
            <w:tcW w:w="1705" w:type="dxa"/>
            <w:noWrap w:val="0"/>
            <w:vAlign w:val="center"/>
          </w:tcPr>
          <w:p>
            <w:pPr>
              <w:jc w:val="center"/>
              <w:rPr>
                <w:szCs w:val="21"/>
              </w:rPr>
            </w:pPr>
            <w:r>
              <w:rPr>
                <w:rFonts w:hint="eastAsia"/>
                <w:szCs w:val="21"/>
              </w:rPr>
              <w:t>洗碗工</w:t>
            </w:r>
          </w:p>
        </w:tc>
        <w:tc>
          <w:tcPr>
            <w:tcW w:w="1515" w:type="dxa"/>
            <w:noWrap w:val="0"/>
            <w:vAlign w:val="center"/>
          </w:tcPr>
          <w:p>
            <w:pPr>
              <w:jc w:val="center"/>
              <w:rPr>
                <w:szCs w:val="21"/>
              </w:rPr>
            </w:pPr>
            <w:r>
              <w:rPr>
                <w:rFonts w:hint="eastAsia"/>
                <w:szCs w:val="21"/>
              </w:rPr>
              <w:t>2800</w:t>
            </w:r>
          </w:p>
        </w:tc>
        <w:tc>
          <w:tcPr>
            <w:tcW w:w="1707" w:type="dxa"/>
            <w:noWrap w:val="0"/>
            <w:vAlign w:val="top"/>
          </w:tcPr>
          <w:p>
            <w:pPr>
              <w:jc w:val="center"/>
            </w:pPr>
          </w:p>
        </w:tc>
        <w:tc>
          <w:tcPr>
            <w:tcW w:w="709" w:type="dxa"/>
            <w:noWrap w:val="0"/>
            <w:vAlign w:val="top"/>
          </w:tcPr>
          <w:p>
            <w:pPr>
              <w:jc w:val="cente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noWrap w:val="0"/>
            <w:vAlign w:val="center"/>
          </w:tcPr>
          <w:p>
            <w:pPr>
              <w:jc w:val="center"/>
              <w:rPr>
                <w:szCs w:val="21"/>
              </w:rPr>
            </w:pPr>
            <w:r>
              <w:rPr>
                <w:rFonts w:hint="eastAsia"/>
                <w:szCs w:val="21"/>
              </w:rPr>
              <w:t>28</w:t>
            </w:r>
          </w:p>
        </w:tc>
        <w:tc>
          <w:tcPr>
            <w:tcW w:w="1705" w:type="dxa"/>
            <w:noWrap w:val="0"/>
            <w:vAlign w:val="center"/>
          </w:tcPr>
          <w:p>
            <w:pPr>
              <w:jc w:val="center"/>
              <w:rPr>
                <w:szCs w:val="21"/>
              </w:rPr>
            </w:pPr>
            <w:r>
              <w:rPr>
                <w:rFonts w:hint="eastAsia"/>
                <w:szCs w:val="21"/>
              </w:rPr>
              <w:t>服务员</w:t>
            </w:r>
          </w:p>
        </w:tc>
        <w:tc>
          <w:tcPr>
            <w:tcW w:w="1515" w:type="dxa"/>
            <w:noWrap w:val="0"/>
            <w:vAlign w:val="center"/>
          </w:tcPr>
          <w:p>
            <w:pPr>
              <w:jc w:val="center"/>
              <w:rPr>
                <w:szCs w:val="21"/>
              </w:rPr>
            </w:pPr>
            <w:r>
              <w:rPr>
                <w:rFonts w:hint="eastAsia"/>
                <w:szCs w:val="21"/>
              </w:rPr>
              <w:t>2800</w:t>
            </w:r>
          </w:p>
        </w:tc>
        <w:tc>
          <w:tcPr>
            <w:tcW w:w="1707" w:type="dxa"/>
            <w:noWrap w:val="0"/>
            <w:vAlign w:val="top"/>
          </w:tcPr>
          <w:p>
            <w:pPr>
              <w:jc w:val="center"/>
              <w:rPr>
                <w:szCs w:val="21"/>
              </w:rPr>
            </w:pPr>
          </w:p>
        </w:tc>
        <w:tc>
          <w:tcPr>
            <w:tcW w:w="709" w:type="dxa"/>
            <w:noWrap w:val="0"/>
            <w:vAlign w:val="top"/>
          </w:tcPr>
          <w:p>
            <w:pPr>
              <w:jc w:val="center"/>
              <w:rPr>
                <w:szCs w:val="21"/>
              </w:rPr>
            </w:pPr>
            <w:r>
              <w:rPr>
                <w:rFonts w:hint="eastAsia"/>
                <w:szCs w:val="21"/>
              </w:rPr>
              <w:t>1%</w:t>
            </w: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gridSpan w:val="2"/>
            <w:noWrap w:val="0"/>
            <w:vAlign w:val="center"/>
          </w:tcPr>
          <w:p>
            <w:pPr>
              <w:jc w:val="center"/>
              <w:rPr>
                <w:rFonts w:hint="eastAsia"/>
                <w:szCs w:val="21"/>
              </w:rPr>
            </w:pPr>
            <w:r>
              <w:rPr>
                <w:rFonts w:hint="eastAsia"/>
                <w:szCs w:val="21"/>
              </w:rPr>
              <w:t>合计</w:t>
            </w:r>
          </w:p>
        </w:tc>
        <w:tc>
          <w:tcPr>
            <w:tcW w:w="1515" w:type="dxa"/>
            <w:noWrap w:val="0"/>
            <w:vAlign w:val="center"/>
          </w:tcPr>
          <w:p>
            <w:pPr>
              <w:jc w:val="center"/>
              <w:rPr>
                <w:rFonts w:hint="eastAsia"/>
                <w:szCs w:val="21"/>
              </w:rPr>
            </w:pPr>
            <w:r>
              <w:rPr>
                <w:rFonts w:hint="eastAsia"/>
                <w:szCs w:val="21"/>
              </w:rPr>
              <w:t>111500</w:t>
            </w:r>
          </w:p>
        </w:tc>
        <w:tc>
          <w:tcPr>
            <w:tcW w:w="1707" w:type="dxa"/>
            <w:noWrap w:val="0"/>
            <w:vAlign w:val="center"/>
          </w:tcPr>
          <w:p>
            <w:pPr>
              <w:jc w:val="center"/>
              <w:rPr>
                <w:szCs w:val="21"/>
              </w:rPr>
            </w:pPr>
          </w:p>
        </w:tc>
        <w:tc>
          <w:tcPr>
            <w:tcW w:w="709" w:type="dxa"/>
            <w:noWrap w:val="0"/>
            <w:vAlign w:val="center"/>
          </w:tcPr>
          <w:p>
            <w:pPr>
              <w:jc w:val="center"/>
              <w:rPr>
                <w:szCs w:val="21"/>
              </w:rPr>
            </w:pPr>
            <w:r>
              <w:rPr>
                <w:rFonts w:hint="eastAsia"/>
                <w:szCs w:val="21"/>
              </w:rPr>
              <w:t>100%</w:t>
            </w:r>
          </w:p>
        </w:tc>
        <w:tc>
          <w:tcPr>
            <w:tcW w:w="2460" w:type="dxa"/>
            <w:noWrap w:val="0"/>
            <w:vAlign w:val="center"/>
          </w:tcPr>
          <w:p>
            <w:pPr>
              <w:jc w:val="center"/>
              <w:rPr>
                <w:szCs w:val="21"/>
              </w:rPr>
            </w:pPr>
          </w:p>
        </w:tc>
      </w:tr>
    </w:tbl>
    <w:p>
      <w:r>
        <w:rPr>
          <w:rFonts w:hint="eastAsia"/>
        </w:rPr>
        <w:t>薪酬投标报价说明：</w:t>
      </w:r>
    </w:p>
    <w:p>
      <w:pPr>
        <w:ind w:firstLine="420" w:firstLineChars="200"/>
      </w:pPr>
      <w:r>
        <w:rPr>
          <w:rFonts w:hint="eastAsia"/>
        </w:rPr>
        <w:t>※薪酬投标报价需</w:t>
      </w:r>
      <w:r>
        <w:rPr>
          <w:rFonts w:hint="eastAsia" w:ascii="宋体" w:hAnsi="宋体"/>
        </w:rPr>
        <w:t>≦</w:t>
      </w:r>
      <w:r>
        <w:rPr>
          <w:rFonts w:hint="eastAsia"/>
        </w:rPr>
        <w:t>月薪酬限额标准，超出月工资限额标准视为无效报价，取消投标商中标资格。</w:t>
      </w:r>
    </w:p>
    <w:p>
      <w:pPr>
        <w:ind w:firstLine="420" w:firstLineChars="200"/>
      </w:pPr>
      <w:r>
        <w:rPr>
          <w:rFonts w:hint="eastAsia"/>
        </w:rPr>
        <w:t>※月薪酬限额标准中包含岗位工资、奖金、福利、服装、通勤、餐补等费用，投标商投标报价涵盖企业员工相关待遇。</w:t>
      </w:r>
    </w:p>
    <w:p>
      <w:pPr>
        <w:ind w:firstLine="420" w:firstLineChars="200"/>
        <w:rPr>
          <w:rFonts w:hint="eastAsia"/>
        </w:rPr>
      </w:pPr>
      <w:r>
        <w:rPr>
          <w:rFonts w:hint="eastAsia"/>
        </w:rPr>
        <w:t>※表中岗位名称一列带“*”岗位为物业进场服务首批设置岗位，保安等倒班岗位人数依法配置，其他岗位配置人数双方协商，最终以甲方意见为准；服务费用结算周期内按双方约定的进场配置人数核算用工薪酬，新增或减少配置人员以双方签证为准。</w:t>
      </w:r>
    </w:p>
    <w:p>
      <w:pPr>
        <w:spacing w:line="360" w:lineRule="auto"/>
        <w:ind w:firstLine="480" w:firstLineChars="200"/>
        <w:rPr>
          <w:sz w:val="24"/>
        </w:rPr>
      </w:pPr>
      <w:r>
        <w:rPr>
          <w:rFonts w:hint="eastAsia"/>
          <w:sz w:val="24"/>
        </w:rPr>
        <w:t>2.具体用工要求：</w:t>
      </w:r>
    </w:p>
    <w:p>
      <w:pPr>
        <w:spacing w:line="360" w:lineRule="auto"/>
        <w:ind w:firstLine="480" w:firstLineChars="200"/>
        <w:rPr>
          <w:rFonts w:hint="eastAsia"/>
          <w:sz w:val="24"/>
        </w:rPr>
      </w:pPr>
      <w:r>
        <w:rPr>
          <w:rFonts w:hint="eastAsia"/>
          <w:sz w:val="24"/>
        </w:rPr>
        <w:t>（1）管理岗位：大专以上学历，55周岁以下，男女不限，具有2年以上项目经理、主管任职经历，能规范组织服务工作，责任心强，气质端庄，沟通协调能力和执行力强。</w:t>
      </w:r>
    </w:p>
    <w:p>
      <w:pPr>
        <w:spacing w:line="360" w:lineRule="auto"/>
        <w:ind w:firstLine="480" w:firstLineChars="200"/>
        <w:rPr>
          <w:sz w:val="24"/>
        </w:rPr>
      </w:pPr>
      <w:r>
        <w:rPr>
          <w:rFonts w:hint="eastAsia"/>
          <w:sz w:val="24"/>
        </w:rPr>
        <w:t>（2）技术岗位，中专以上学历，60周岁以下，国家或省市技术监督部门要求持证上岗方可进行作业的人员必须符合相关要求。</w:t>
      </w:r>
      <w:r>
        <w:rPr>
          <w:sz w:val="24"/>
        </w:rPr>
        <w:t xml:space="preserve"> </w:t>
      </w:r>
    </w:p>
    <w:p>
      <w:pPr>
        <w:spacing w:line="360" w:lineRule="auto"/>
        <w:ind w:firstLine="480" w:firstLineChars="200"/>
        <w:rPr>
          <w:rFonts w:hint="eastAsia"/>
          <w:sz w:val="24"/>
        </w:rPr>
      </w:pPr>
      <w:r>
        <w:rPr>
          <w:rFonts w:hint="eastAsia"/>
          <w:sz w:val="24"/>
        </w:rPr>
        <w:t>（3）基层员工：要求身体健康，具有初中及以上学历，保安员控制在55周岁以下，保洁员控制在60周岁以下，具有1年以上保洁工作经验，会熟练使用洗地机、清洗机、尘推车等现代化清洁工具，会安全使用各类清洗剂、消毒剂等。</w:t>
      </w:r>
    </w:p>
    <w:p>
      <w:pPr>
        <w:spacing w:line="360" w:lineRule="auto"/>
        <w:ind w:firstLine="480" w:firstLineChars="200"/>
        <w:rPr>
          <w:sz w:val="24"/>
        </w:rPr>
      </w:pPr>
      <w:r>
        <w:rPr>
          <w:rFonts w:hint="eastAsia"/>
          <w:sz w:val="24"/>
        </w:rPr>
        <w:t>（4）所有员工上岗后要求提供健康证，疫情防控期间按学校要求提供核算检测报告。</w:t>
      </w:r>
    </w:p>
    <w:p>
      <w:pPr>
        <w:spacing w:line="360" w:lineRule="auto"/>
        <w:ind w:firstLine="480" w:firstLineChars="200"/>
        <w:rPr>
          <w:sz w:val="24"/>
        </w:rPr>
      </w:pPr>
      <w:r>
        <w:rPr>
          <w:rFonts w:hint="eastAsia"/>
          <w:sz w:val="24"/>
        </w:rPr>
        <w:t>（5）投标人要保证工作人员的稳定，聘用的所有人员必须政治可靠，无违法犯罪记录，家庭住址详实，个人资料齐全、留有备案。制定完整、有效的内部管理制度、各岗位工作计划、工作流程、业务培训、绩效奖惩等，上岗时必须按岗位要求统一制服、佩戴工作牌，服装整洁、妆容朴素大方，服务言行规范。</w:t>
      </w:r>
    </w:p>
    <w:p>
      <w:pPr>
        <w:spacing w:line="360" w:lineRule="auto"/>
        <w:ind w:firstLine="480" w:firstLineChars="200"/>
        <w:rPr>
          <w:sz w:val="24"/>
        </w:rPr>
      </w:pPr>
      <w:r>
        <w:rPr>
          <w:rFonts w:hint="eastAsia"/>
          <w:sz w:val="24"/>
        </w:rPr>
        <w:t>3.学校重大活动期间需按照甲方要求另行提供人力和设备启动应急预案完成服务任务。</w:t>
      </w:r>
    </w:p>
    <w:p>
      <w:pPr>
        <w:spacing w:line="360" w:lineRule="auto"/>
        <w:ind w:firstLine="482" w:firstLineChars="200"/>
        <w:rPr>
          <w:b/>
          <w:sz w:val="24"/>
        </w:rPr>
      </w:pPr>
      <w:r>
        <w:rPr>
          <w:rFonts w:hint="eastAsia"/>
          <w:b/>
          <w:sz w:val="24"/>
        </w:rPr>
        <w:t>第二项：技术保障方面</w:t>
      </w:r>
    </w:p>
    <w:p>
      <w:pPr>
        <w:spacing w:line="360" w:lineRule="auto"/>
        <w:ind w:firstLine="480" w:firstLineChars="200"/>
        <w:rPr>
          <w:sz w:val="24"/>
        </w:rPr>
      </w:pPr>
      <w:r>
        <w:rPr>
          <w:sz w:val="24"/>
        </w:rPr>
        <w:t>1</w:t>
      </w:r>
      <w:r>
        <w:rPr>
          <w:rFonts w:hint="eastAsia"/>
          <w:sz w:val="24"/>
        </w:rPr>
        <w:t>.要求提供完整、有针对性和可操作性的管理制度和服务验收标准、管理规范。</w:t>
      </w:r>
    </w:p>
    <w:p>
      <w:pPr>
        <w:spacing w:line="360" w:lineRule="auto"/>
        <w:ind w:firstLine="480" w:firstLineChars="200"/>
        <w:rPr>
          <w:sz w:val="24"/>
        </w:rPr>
      </w:pPr>
      <w:r>
        <w:rPr>
          <w:sz w:val="24"/>
        </w:rPr>
        <w:t>2</w:t>
      </w:r>
      <w:r>
        <w:rPr>
          <w:rFonts w:hint="eastAsia"/>
          <w:sz w:val="24"/>
        </w:rPr>
        <w:t>.要求提供能够充分体现和适应高校物业管理特点、适用于本项目实际的完整、有针对性和可操作性的保洁、秩序、综合管理与服务、共用部位、共用设备设施运行维护及维修管理方案（内容包括管理服务思路、日常巡视检查、管理、维护、保养、维修登记等）。</w:t>
      </w:r>
    </w:p>
    <w:p>
      <w:pPr>
        <w:spacing w:line="360" w:lineRule="auto"/>
        <w:ind w:firstLine="480" w:firstLineChars="200"/>
        <w:rPr>
          <w:rFonts w:hint="eastAsia"/>
          <w:sz w:val="24"/>
        </w:rPr>
      </w:pPr>
      <w:r>
        <w:rPr>
          <w:sz w:val="24"/>
        </w:rPr>
        <w:t>3</w:t>
      </w:r>
      <w:r>
        <w:rPr>
          <w:rFonts w:hint="eastAsia"/>
          <w:sz w:val="24"/>
        </w:rPr>
        <w:t>.要求提供科学、合理具可操作性的突发事件应急预案（</w:t>
      </w:r>
      <w:r>
        <w:rPr>
          <w:rFonts w:hint="eastAsia" w:ascii="宋体" w:hAnsi="宋体"/>
          <w:kern w:val="0"/>
          <w:sz w:val="24"/>
        </w:rPr>
        <w:t>火灾、水患、电梯故障、刑事治安、涉密、停电、地震、停热、反恐防暴、疫情防控等</w:t>
      </w:r>
      <w:r>
        <w:rPr>
          <w:rFonts w:hint="eastAsia"/>
          <w:sz w:val="24"/>
        </w:rPr>
        <w:t>）。</w:t>
      </w:r>
    </w:p>
    <w:p>
      <w:pPr>
        <w:spacing w:line="360" w:lineRule="auto"/>
        <w:ind w:firstLine="480" w:firstLineChars="200"/>
        <w:rPr>
          <w:rFonts w:hint="eastAsia"/>
          <w:sz w:val="24"/>
        </w:rPr>
      </w:pPr>
      <w:r>
        <w:rPr>
          <w:rFonts w:hint="eastAsia"/>
          <w:sz w:val="24"/>
        </w:rPr>
        <w:t>4.物业开办、工具设备、材料费等综合服务保障项目实施报价机制，经费核算方式以中标企业报价为准，具体如下表：</w:t>
      </w:r>
    </w:p>
    <w:p>
      <w:pPr>
        <w:spacing w:line="360" w:lineRule="auto"/>
        <w:ind w:firstLine="482" w:firstLineChars="200"/>
        <w:jc w:val="center"/>
        <w:rPr>
          <w:rFonts w:hint="eastAsia"/>
          <w:b/>
          <w:sz w:val="24"/>
        </w:rPr>
      </w:pPr>
      <w:r>
        <w:rPr>
          <w:rFonts w:hint="eastAsia"/>
          <w:b/>
          <w:sz w:val="24"/>
        </w:rPr>
        <w:t>综合服务保障项目投标报价表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6"/>
        <w:gridCol w:w="2021"/>
        <w:gridCol w:w="1281"/>
        <w:gridCol w:w="1276"/>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noWrap w:val="0"/>
            <w:vAlign w:val="center"/>
          </w:tcPr>
          <w:p>
            <w:pPr>
              <w:jc w:val="center"/>
              <w:rPr>
                <w:b/>
                <w:szCs w:val="21"/>
              </w:rPr>
            </w:pPr>
            <w:r>
              <w:rPr>
                <w:rFonts w:hint="eastAsia"/>
                <w:b/>
                <w:szCs w:val="21"/>
              </w:rPr>
              <w:t>序号</w:t>
            </w:r>
          </w:p>
        </w:tc>
        <w:tc>
          <w:tcPr>
            <w:tcW w:w="2867" w:type="dxa"/>
            <w:gridSpan w:val="2"/>
            <w:noWrap w:val="0"/>
            <w:vAlign w:val="center"/>
          </w:tcPr>
          <w:p>
            <w:pPr>
              <w:jc w:val="center"/>
              <w:rPr>
                <w:b/>
                <w:szCs w:val="21"/>
              </w:rPr>
            </w:pPr>
            <w:r>
              <w:rPr>
                <w:rFonts w:hint="eastAsia"/>
                <w:b/>
                <w:szCs w:val="21"/>
              </w:rPr>
              <w:t>服务项目名称</w:t>
            </w:r>
          </w:p>
        </w:tc>
        <w:tc>
          <w:tcPr>
            <w:tcW w:w="1281" w:type="dxa"/>
            <w:noWrap w:val="0"/>
            <w:vAlign w:val="center"/>
          </w:tcPr>
          <w:p>
            <w:pPr>
              <w:jc w:val="center"/>
              <w:rPr>
                <w:b/>
                <w:szCs w:val="21"/>
              </w:rPr>
            </w:pPr>
            <w:r>
              <w:rPr>
                <w:rFonts w:hint="eastAsia"/>
                <w:b/>
                <w:szCs w:val="21"/>
              </w:rPr>
              <w:t>限额标准（万元/年）</w:t>
            </w:r>
          </w:p>
        </w:tc>
        <w:tc>
          <w:tcPr>
            <w:tcW w:w="1276" w:type="dxa"/>
            <w:noWrap w:val="0"/>
            <w:vAlign w:val="center"/>
          </w:tcPr>
          <w:p>
            <w:pPr>
              <w:jc w:val="center"/>
              <w:rPr>
                <w:b/>
                <w:szCs w:val="21"/>
              </w:rPr>
            </w:pPr>
            <w:r>
              <w:rPr>
                <w:rFonts w:hint="eastAsia"/>
                <w:b/>
                <w:szCs w:val="21"/>
              </w:rPr>
              <w:t>投标报价（万元/年）</w:t>
            </w:r>
          </w:p>
        </w:tc>
        <w:tc>
          <w:tcPr>
            <w:tcW w:w="2460" w:type="dxa"/>
            <w:noWrap w:val="0"/>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noWrap w:val="0"/>
            <w:vAlign w:val="center"/>
          </w:tcPr>
          <w:p>
            <w:pPr>
              <w:jc w:val="center"/>
              <w:rPr>
                <w:rFonts w:hint="eastAsia"/>
                <w:szCs w:val="21"/>
              </w:rPr>
            </w:pPr>
            <w:r>
              <w:rPr>
                <w:rFonts w:hint="eastAsia"/>
                <w:szCs w:val="21"/>
              </w:rPr>
              <w:t>1</w:t>
            </w:r>
          </w:p>
        </w:tc>
        <w:tc>
          <w:tcPr>
            <w:tcW w:w="2867" w:type="dxa"/>
            <w:gridSpan w:val="2"/>
            <w:noWrap w:val="0"/>
            <w:vAlign w:val="center"/>
          </w:tcPr>
          <w:p>
            <w:pPr>
              <w:jc w:val="center"/>
              <w:rPr>
                <w:rFonts w:hint="eastAsia"/>
                <w:szCs w:val="21"/>
              </w:rPr>
            </w:pPr>
            <w:r>
              <w:rPr>
                <w:rFonts w:hint="eastAsia"/>
                <w:szCs w:val="21"/>
              </w:rPr>
              <w:t>物业开办费用</w:t>
            </w:r>
          </w:p>
        </w:tc>
        <w:tc>
          <w:tcPr>
            <w:tcW w:w="1281" w:type="dxa"/>
            <w:noWrap w:val="0"/>
            <w:vAlign w:val="center"/>
          </w:tcPr>
          <w:p>
            <w:pPr>
              <w:jc w:val="center"/>
              <w:rPr>
                <w:rFonts w:hint="eastAsia"/>
                <w:szCs w:val="21"/>
              </w:rPr>
            </w:pPr>
            <w:r>
              <w:rPr>
                <w:rFonts w:hint="eastAsia"/>
                <w:szCs w:val="21"/>
              </w:rPr>
              <w:t>2</w:t>
            </w:r>
          </w:p>
        </w:tc>
        <w:tc>
          <w:tcPr>
            <w:tcW w:w="1276" w:type="dxa"/>
            <w:noWrap w:val="0"/>
            <w:vAlign w:val="center"/>
          </w:tcPr>
          <w:p>
            <w:pPr>
              <w:jc w:val="center"/>
              <w:rPr>
                <w:rFonts w:hint="eastAsia"/>
                <w:b/>
                <w:szCs w:val="21"/>
              </w:rPr>
            </w:pPr>
          </w:p>
        </w:tc>
        <w:tc>
          <w:tcPr>
            <w:tcW w:w="2460" w:type="dxa"/>
            <w:noWrap w:val="0"/>
            <w:vAlign w:val="center"/>
          </w:tcPr>
          <w:p>
            <w:pPr>
              <w:jc w:val="center"/>
              <w:rPr>
                <w:rFonts w:hint="eastAsia"/>
                <w:b/>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0" w:type="auto"/>
            <w:noWrap w:val="0"/>
            <w:vAlign w:val="center"/>
          </w:tcPr>
          <w:p>
            <w:pPr>
              <w:jc w:val="center"/>
              <w:rPr>
                <w:szCs w:val="21"/>
              </w:rPr>
            </w:pPr>
            <w:r>
              <w:rPr>
                <w:rFonts w:hint="eastAsia"/>
                <w:szCs w:val="21"/>
              </w:rPr>
              <w:t>2</w:t>
            </w:r>
          </w:p>
        </w:tc>
        <w:tc>
          <w:tcPr>
            <w:tcW w:w="2867" w:type="dxa"/>
            <w:gridSpan w:val="2"/>
            <w:noWrap w:val="0"/>
            <w:vAlign w:val="center"/>
          </w:tcPr>
          <w:p>
            <w:pPr>
              <w:jc w:val="center"/>
              <w:rPr>
                <w:szCs w:val="21"/>
              </w:rPr>
            </w:pPr>
            <w:r>
              <w:rPr>
                <w:rFonts w:hint="eastAsia"/>
                <w:szCs w:val="21"/>
              </w:rPr>
              <w:t>工具、设备费</w:t>
            </w:r>
          </w:p>
        </w:tc>
        <w:tc>
          <w:tcPr>
            <w:tcW w:w="1281" w:type="dxa"/>
            <w:noWrap w:val="0"/>
            <w:vAlign w:val="center"/>
          </w:tcPr>
          <w:p>
            <w:pPr>
              <w:jc w:val="center"/>
              <w:rPr>
                <w:szCs w:val="21"/>
              </w:rPr>
            </w:pPr>
            <w:r>
              <w:rPr>
                <w:rFonts w:hint="eastAsia"/>
                <w:szCs w:val="21"/>
              </w:rPr>
              <w:t>2</w:t>
            </w:r>
          </w:p>
        </w:tc>
        <w:tc>
          <w:tcPr>
            <w:tcW w:w="1276" w:type="dxa"/>
            <w:noWrap w:val="0"/>
            <w:vAlign w:val="center"/>
          </w:tcPr>
          <w:p>
            <w:pPr>
              <w:jc w:val="center"/>
              <w:rPr>
                <w:szCs w:val="21"/>
              </w:rPr>
            </w:pPr>
          </w:p>
        </w:tc>
        <w:tc>
          <w:tcPr>
            <w:tcW w:w="2460" w:type="dxa"/>
            <w:noWrap w:val="0"/>
            <w:vAlign w:val="center"/>
          </w:tcPr>
          <w:p>
            <w:pPr>
              <w:jc w:val="center"/>
              <w:rPr>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3</w:t>
            </w:r>
          </w:p>
        </w:tc>
        <w:tc>
          <w:tcPr>
            <w:tcW w:w="2867" w:type="dxa"/>
            <w:gridSpan w:val="2"/>
            <w:noWrap w:val="0"/>
            <w:vAlign w:val="center"/>
          </w:tcPr>
          <w:p>
            <w:pPr>
              <w:jc w:val="center"/>
              <w:rPr>
                <w:szCs w:val="21"/>
              </w:rPr>
            </w:pPr>
            <w:r>
              <w:rPr>
                <w:rFonts w:hint="eastAsia"/>
                <w:szCs w:val="21"/>
              </w:rPr>
              <w:t>化粪池、排水井清掏</w:t>
            </w:r>
          </w:p>
        </w:tc>
        <w:tc>
          <w:tcPr>
            <w:tcW w:w="1281" w:type="dxa"/>
            <w:noWrap w:val="0"/>
            <w:vAlign w:val="center"/>
          </w:tcPr>
          <w:p>
            <w:pPr>
              <w:jc w:val="center"/>
              <w:rPr>
                <w:szCs w:val="21"/>
              </w:rPr>
            </w:pPr>
            <w:r>
              <w:rPr>
                <w:rFonts w:hint="eastAsia"/>
                <w:szCs w:val="21"/>
              </w:rPr>
              <w:t>0.84</w:t>
            </w:r>
          </w:p>
        </w:tc>
        <w:tc>
          <w:tcPr>
            <w:tcW w:w="1276" w:type="dxa"/>
            <w:noWrap w:val="0"/>
            <w:vAlign w:val="center"/>
          </w:tcPr>
          <w:p>
            <w:pPr>
              <w:jc w:val="center"/>
              <w:rPr>
                <w:szCs w:val="21"/>
              </w:rPr>
            </w:pPr>
          </w:p>
        </w:tc>
        <w:tc>
          <w:tcPr>
            <w:tcW w:w="2460" w:type="dxa"/>
            <w:noWrap w:val="0"/>
            <w:vAlign w:val="center"/>
          </w:tcPr>
          <w:p>
            <w:pPr>
              <w:jc w:val="center"/>
              <w:rPr>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4</w:t>
            </w:r>
          </w:p>
        </w:tc>
        <w:tc>
          <w:tcPr>
            <w:tcW w:w="2867" w:type="dxa"/>
            <w:gridSpan w:val="2"/>
            <w:noWrap w:val="0"/>
            <w:vAlign w:val="center"/>
          </w:tcPr>
          <w:p>
            <w:pPr>
              <w:jc w:val="center"/>
              <w:rPr>
                <w:szCs w:val="21"/>
              </w:rPr>
            </w:pPr>
            <w:r>
              <w:rPr>
                <w:rFonts w:hint="eastAsia"/>
                <w:szCs w:val="21"/>
              </w:rPr>
              <w:t>冬季楼宇及室外管井防寒</w:t>
            </w:r>
          </w:p>
        </w:tc>
        <w:tc>
          <w:tcPr>
            <w:tcW w:w="1281" w:type="dxa"/>
            <w:noWrap w:val="0"/>
            <w:vAlign w:val="center"/>
          </w:tcPr>
          <w:p>
            <w:pPr>
              <w:jc w:val="center"/>
              <w:rPr>
                <w:szCs w:val="21"/>
              </w:rPr>
            </w:pPr>
            <w:r>
              <w:rPr>
                <w:rFonts w:hint="eastAsia"/>
                <w:szCs w:val="21"/>
              </w:rPr>
              <w:t>0.90</w:t>
            </w:r>
          </w:p>
        </w:tc>
        <w:tc>
          <w:tcPr>
            <w:tcW w:w="1276" w:type="dxa"/>
            <w:noWrap w:val="0"/>
            <w:vAlign w:val="center"/>
          </w:tcPr>
          <w:p>
            <w:pPr>
              <w:jc w:val="center"/>
              <w:rPr>
                <w:szCs w:val="21"/>
              </w:rPr>
            </w:pPr>
          </w:p>
        </w:tc>
        <w:tc>
          <w:tcPr>
            <w:tcW w:w="2460" w:type="dxa"/>
            <w:noWrap w:val="0"/>
            <w:vAlign w:val="center"/>
          </w:tcPr>
          <w:p>
            <w:pPr>
              <w:jc w:val="center"/>
              <w:rPr>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5</w:t>
            </w:r>
          </w:p>
        </w:tc>
        <w:tc>
          <w:tcPr>
            <w:tcW w:w="0" w:type="auto"/>
            <w:vMerge w:val="restart"/>
            <w:noWrap w:val="0"/>
            <w:vAlign w:val="center"/>
          </w:tcPr>
          <w:p>
            <w:pPr>
              <w:jc w:val="center"/>
              <w:rPr>
                <w:szCs w:val="21"/>
              </w:rPr>
            </w:pPr>
            <w:r>
              <w:rPr>
                <w:rFonts w:hint="eastAsia"/>
                <w:szCs w:val="21"/>
              </w:rPr>
              <w:t>材料费</w:t>
            </w:r>
          </w:p>
        </w:tc>
        <w:tc>
          <w:tcPr>
            <w:tcW w:w="2021" w:type="dxa"/>
            <w:noWrap w:val="0"/>
            <w:vAlign w:val="center"/>
          </w:tcPr>
          <w:p>
            <w:pPr>
              <w:jc w:val="center"/>
              <w:rPr>
                <w:szCs w:val="21"/>
              </w:rPr>
            </w:pPr>
            <w:r>
              <w:rPr>
                <w:rFonts w:hint="eastAsia"/>
                <w:szCs w:val="21"/>
              </w:rPr>
              <w:t>室外保洁、绿化</w:t>
            </w:r>
          </w:p>
        </w:tc>
        <w:tc>
          <w:tcPr>
            <w:tcW w:w="1281" w:type="dxa"/>
            <w:noWrap w:val="0"/>
            <w:vAlign w:val="center"/>
          </w:tcPr>
          <w:p>
            <w:pPr>
              <w:jc w:val="center"/>
              <w:rPr>
                <w:szCs w:val="21"/>
              </w:rPr>
            </w:pPr>
            <w:r>
              <w:rPr>
                <w:rFonts w:hint="eastAsia"/>
                <w:szCs w:val="21"/>
              </w:rPr>
              <w:t>5.00</w:t>
            </w:r>
          </w:p>
        </w:tc>
        <w:tc>
          <w:tcPr>
            <w:tcW w:w="1276" w:type="dxa"/>
            <w:noWrap w:val="0"/>
            <w:vAlign w:val="center"/>
          </w:tcPr>
          <w:p>
            <w:pPr>
              <w:jc w:val="center"/>
              <w:rPr>
                <w:szCs w:val="21"/>
              </w:rPr>
            </w:pPr>
          </w:p>
        </w:tc>
        <w:tc>
          <w:tcPr>
            <w:tcW w:w="2460" w:type="dxa"/>
            <w:noWrap w:val="0"/>
            <w:vAlign w:val="center"/>
          </w:tcPr>
          <w:p>
            <w:pPr>
              <w:jc w:val="center"/>
              <w:rPr>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6</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磁环境保洁</w:t>
            </w:r>
          </w:p>
        </w:tc>
        <w:tc>
          <w:tcPr>
            <w:tcW w:w="1281" w:type="dxa"/>
            <w:noWrap w:val="0"/>
            <w:vAlign w:val="center"/>
          </w:tcPr>
          <w:p>
            <w:pPr>
              <w:jc w:val="center"/>
              <w:rPr>
                <w:szCs w:val="21"/>
              </w:rPr>
            </w:pPr>
            <w:r>
              <w:rPr>
                <w:rFonts w:hint="eastAsia"/>
                <w:szCs w:val="21"/>
              </w:rPr>
              <w:t>0.80</w:t>
            </w:r>
          </w:p>
        </w:tc>
        <w:tc>
          <w:tcPr>
            <w:tcW w:w="1276" w:type="dxa"/>
            <w:noWrap w:val="0"/>
            <w:vAlign w:val="center"/>
          </w:tcPr>
          <w:p>
            <w:pPr>
              <w:jc w:val="center"/>
              <w:rPr>
                <w:szCs w:val="21"/>
              </w:rPr>
            </w:pPr>
          </w:p>
        </w:tc>
        <w:tc>
          <w:tcPr>
            <w:tcW w:w="2460" w:type="dxa"/>
            <w:vMerge w:val="restart"/>
            <w:noWrap w:val="0"/>
            <w:vAlign w:val="center"/>
          </w:tcPr>
          <w:p>
            <w:pPr>
              <w:jc w:val="center"/>
              <w:rPr>
                <w:szCs w:val="21"/>
              </w:rPr>
            </w:pPr>
            <w:r>
              <w:rPr>
                <w:rFonts w:hint="eastAsia"/>
                <w:szCs w:val="21"/>
              </w:rPr>
              <w:t>按楼宇接管时间结算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7</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等离子保洁</w:t>
            </w:r>
          </w:p>
        </w:tc>
        <w:tc>
          <w:tcPr>
            <w:tcW w:w="1281" w:type="dxa"/>
            <w:noWrap w:val="0"/>
            <w:vAlign w:val="center"/>
          </w:tcPr>
          <w:p>
            <w:pPr>
              <w:jc w:val="center"/>
              <w:rPr>
                <w:szCs w:val="21"/>
              </w:rPr>
            </w:pPr>
            <w:r>
              <w:rPr>
                <w:rFonts w:hint="eastAsia"/>
                <w:szCs w:val="21"/>
              </w:rPr>
              <w:t>0.80</w:t>
            </w:r>
          </w:p>
        </w:tc>
        <w:tc>
          <w:tcPr>
            <w:tcW w:w="1276" w:type="dxa"/>
            <w:noWrap w:val="0"/>
            <w:vAlign w:val="center"/>
          </w:tcPr>
          <w:p>
            <w:pPr>
              <w:jc w:val="center"/>
              <w:rPr>
                <w:szCs w:val="21"/>
              </w:rPr>
            </w:pPr>
          </w:p>
        </w:tc>
        <w:tc>
          <w:tcPr>
            <w:tcW w:w="2460"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8</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主动力保洁</w:t>
            </w:r>
          </w:p>
        </w:tc>
        <w:tc>
          <w:tcPr>
            <w:tcW w:w="1281" w:type="dxa"/>
            <w:noWrap w:val="0"/>
            <w:vAlign w:val="center"/>
          </w:tcPr>
          <w:p>
            <w:pPr>
              <w:jc w:val="center"/>
              <w:rPr>
                <w:szCs w:val="21"/>
              </w:rPr>
            </w:pPr>
            <w:r>
              <w:rPr>
                <w:rFonts w:hint="eastAsia"/>
                <w:szCs w:val="21"/>
              </w:rPr>
              <w:t>0.80</w:t>
            </w:r>
          </w:p>
        </w:tc>
        <w:tc>
          <w:tcPr>
            <w:tcW w:w="1276" w:type="dxa"/>
            <w:noWrap w:val="0"/>
            <w:vAlign w:val="center"/>
          </w:tcPr>
          <w:p>
            <w:pPr>
              <w:jc w:val="center"/>
              <w:rPr>
                <w:szCs w:val="21"/>
              </w:rPr>
            </w:pPr>
          </w:p>
        </w:tc>
        <w:tc>
          <w:tcPr>
            <w:tcW w:w="2460"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9</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动物培养室保洁</w:t>
            </w:r>
          </w:p>
        </w:tc>
        <w:tc>
          <w:tcPr>
            <w:tcW w:w="1281" w:type="dxa"/>
            <w:noWrap w:val="0"/>
            <w:vAlign w:val="center"/>
          </w:tcPr>
          <w:p>
            <w:pPr>
              <w:jc w:val="center"/>
              <w:rPr>
                <w:szCs w:val="21"/>
              </w:rPr>
            </w:pPr>
            <w:r>
              <w:rPr>
                <w:rFonts w:hint="eastAsia"/>
                <w:szCs w:val="21"/>
              </w:rPr>
              <w:t>0.80</w:t>
            </w:r>
          </w:p>
        </w:tc>
        <w:tc>
          <w:tcPr>
            <w:tcW w:w="1276" w:type="dxa"/>
            <w:noWrap w:val="0"/>
            <w:vAlign w:val="center"/>
          </w:tcPr>
          <w:p>
            <w:pPr>
              <w:jc w:val="center"/>
              <w:rPr>
                <w:szCs w:val="21"/>
              </w:rPr>
            </w:pPr>
          </w:p>
        </w:tc>
        <w:tc>
          <w:tcPr>
            <w:tcW w:w="2460"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10</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综合实验楼保洁</w:t>
            </w:r>
          </w:p>
        </w:tc>
        <w:tc>
          <w:tcPr>
            <w:tcW w:w="1281" w:type="dxa"/>
            <w:noWrap w:val="0"/>
            <w:vAlign w:val="center"/>
          </w:tcPr>
          <w:p>
            <w:pPr>
              <w:jc w:val="center"/>
              <w:rPr>
                <w:szCs w:val="21"/>
              </w:rPr>
            </w:pPr>
            <w:r>
              <w:rPr>
                <w:rFonts w:hint="eastAsia"/>
                <w:szCs w:val="21"/>
              </w:rPr>
              <w:t>2.20</w:t>
            </w:r>
          </w:p>
        </w:tc>
        <w:tc>
          <w:tcPr>
            <w:tcW w:w="1276" w:type="dxa"/>
            <w:noWrap w:val="0"/>
            <w:vAlign w:val="center"/>
          </w:tcPr>
          <w:p>
            <w:pPr>
              <w:jc w:val="center"/>
              <w:rPr>
                <w:szCs w:val="21"/>
              </w:rPr>
            </w:pPr>
          </w:p>
        </w:tc>
        <w:tc>
          <w:tcPr>
            <w:tcW w:w="2460"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11</w:t>
            </w:r>
          </w:p>
        </w:tc>
        <w:tc>
          <w:tcPr>
            <w:tcW w:w="0" w:type="auto"/>
            <w:vMerge w:val="continue"/>
            <w:noWrap w:val="0"/>
            <w:vAlign w:val="center"/>
          </w:tcPr>
          <w:p>
            <w:pPr>
              <w:jc w:val="center"/>
              <w:rPr>
                <w:szCs w:val="21"/>
              </w:rPr>
            </w:pPr>
          </w:p>
        </w:tc>
        <w:tc>
          <w:tcPr>
            <w:tcW w:w="2021" w:type="dxa"/>
            <w:noWrap w:val="0"/>
            <w:vAlign w:val="center"/>
          </w:tcPr>
          <w:p>
            <w:pPr>
              <w:jc w:val="center"/>
              <w:rPr>
                <w:szCs w:val="21"/>
              </w:rPr>
            </w:pPr>
            <w:r>
              <w:rPr>
                <w:rFonts w:hint="eastAsia"/>
                <w:szCs w:val="21"/>
              </w:rPr>
              <w:t>动力管理中心保洁</w:t>
            </w:r>
          </w:p>
        </w:tc>
        <w:tc>
          <w:tcPr>
            <w:tcW w:w="1281" w:type="dxa"/>
            <w:noWrap w:val="0"/>
            <w:vAlign w:val="center"/>
          </w:tcPr>
          <w:p>
            <w:pPr>
              <w:jc w:val="center"/>
              <w:rPr>
                <w:szCs w:val="21"/>
              </w:rPr>
            </w:pPr>
            <w:r>
              <w:rPr>
                <w:rFonts w:hint="eastAsia"/>
                <w:szCs w:val="21"/>
              </w:rPr>
              <w:t>4.20</w:t>
            </w:r>
          </w:p>
        </w:tc>
        <w:tc>
          <w:tcPr>
            <w:tcW w:w="1276" w:type="dxa"/>
            <w:noWrap w:val="0"/>
            <w:vAlign w:val="center"/>
          </w:tcPr>
          <w:p>
            <w:pPr>
              <w:jc w:val="center"/>
              <w:rPr>
                <w:szCs w:val="21"/>
              </w:rPr>
            </w:pPr>
          </w:p>
        </w:tc>
        <w:tc>
          <w:tcPr>
            <w:tcW w:w="2460"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rFonts w:hint="eastAsia"/>
                <w:szCs w:val="21"/>
              </w:rPr>
            </w:pPr>
            <w:r>
              <w:rPr>
                <w:rFonts w:hint="eastAsia"/>
                <w:szCs w:val="21"/>
              </w:rPr>
              <w:t>12</w:t>
            </w:r>
          </w:p>
        </w:tc>
        <w:tc>
          <w:tcPr>
            <w:tcW w:w="0" w:type="auto"/>
            <w:vMerge w:val="continue"/>
            <w:noWrap w:val="0"/>
            <w:vAlign w:val="center"/>
          </w:tcPr>
          <w:p>
            <w:pPr>
              <w:jc w:val="center"/>
              <w:rPr>
                <w:szCs w:val="21"/>
              </w:rPr>
            </w:pPr>
          </w:p>
        </w:tc>
        <w:tc>
          <w:tcPr>
            <w:tcW w:w="2021" w:type="dxa"/>
            <w:noWrap w:val="0"/>
            <w:vAlign w:val="center"/>
          </w:tcPr>
          <w:p>
            <w:pPr>
              <w:jc w:val="center"/>
              <w:rPr>
                <w:rFonts w:hint="eastAsia"/>
                <w:szCs w:val="21"/>
              </w:rPr>
            </w:pPr>
            <w:r>
              <w:rPr>
                <w:rFonts w:hint="eastAsia"/>
                <w:szCs w:val="21"/>
              </w:rPr>
              <w:t>合计</w:t>
            </w:r>
          </w:p>
        </w:tc>
        <w:tc>
          <w:tcPr>
            <w:tcW w:w="1281" w:type="dxa"/>
            <w:noWrap w:val="0"/>
            <w:vAlign w:val="center"/>
          </w:tcPr>
          <w:p>
            <w:pPr>
              <w:jc w:val="center"/>
              <w:rPr>
                <w:rFonts w:hint="eastAsia"/>
                <w:szCs w:val="21"/>
              </w:rPr>
            </w:pPr>
            <w:r>
              <w:rPr>
                <w:rFonts w:hint="eastAsia"/>
                <w:szCs w:val="21"/>
              </w:rPr>
              <w:t>14.60</w:t>
            </w:r>
          </w:p>
        </w:tc>
        <w:tc>
          <w:tcPr>
            <w:tcW w:w="1276" w:type="dxa"/>
            <w:noWrap w:val="0"/>
            <w:vAlign w:val="center"/>
          </w:tcPr>
          <w:p>
            <w:pPr>
              <w:jc w:val="center"/>
              <w:rPr>
                <w:szCs w:val="21"/>
              </w:rPr>
            </w:pPr>
          </w:p>
        </w:tc>
        <w:tc>
          <w:tcPr>
            <w:tcW w:w="2460"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13</w:t>
            </w:r>
          </w:p>
        </w:tc>
        <w:tc>
          <w:tcPr>
            <w:tcW w:w="2867" w:type="dxa"/>
            <w:gridSpan w:val="2"/>
            <w:noWrap w:val="0"/>
            <w:vAlign w:val="center"/>
          </w:tcPr>
          <w:p>
            <w:pPr>
              <w:jc w:val="center"/>
              <w:rPr>
                <w:szCs w:val="21"/>
              </w:rPr>
            </w:pPr>
            <w:r>
              <w:rPr>
                <w:rFonts w:hint="eastAsia"/>
                <w:szCs w:val="21"/>
              </w:rPr>
              <w:t>垃圾转运费</w:t>
            </w:r>
          </w:p>
        </w:tc>
        <w:tc>
          <w:tcPr>
            <w:tcW w:w="1281" w:type="dxa"/>
            <w:noWrap w:val="0"/>
            <w:vAlign w:val="center"/>
          </w:tcPr>
          <w:p>
            <w:pPr>
              <w:jc w:val="center"/>
              <w:rPr>
                <w:szCs w:val="21"/>
              </w:rPr>
            </w:pPr>
            <w:r>
              <w:rPr>
                <w:rFonts w:hint="eastAsia"/>
                <w:szCs w:val="21"/>
              </w:rPr>
              <w:t>8.50</w:t>
            </w:r>
          </w:p>
        </w:tc>
        <w:tc>
          <w:tcPr>
            <w:tcW w:w="1276" w:type="dxa"/>
            <w:noWrap w:val="0"/>
            <w:vAlign w:val="center"/>
          </w:tcPr>
          <w:p>
            <w:pPr>
              <w:jc w:val="center"/>
              <w:rPr>
                <w:szCs w:val="21"/>
              </w:rPr>
            </w:pPr>
          </w:p>
        </w:tc>
        <w:tc>
          <w:tcPr>
            <w:tcW w:w="2460" w:type="dxa"/>
            <w:noWrap w:val="0"/>
            <w:vAlign w:val="center"/>
          </w:tcPr>
          <w:p>
            <w:pPr>
              <w:jc w:val="center"/>
              <w:rPr>
                <w:szCs w:val="21"/>
              </w:rPr>
            </w:pPr>
            <w:r>
              <w:rPr>
                <w:rFonts w:hint="eastAsia"/>
                <w:szCs w:val="21"/>
              </w:rPr>
              <w:t>投标文件中列出明细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05" w:type="dxa"/>
            <w:gridSpan w:val="3"/>
            <w:noWrap w:val="0"/>
            <w:vAlign w:val="center"/>
          </w:tcPr>
          <w:p>
            <w:pPr>
              <w:jc w:val="center"/>
              <w:rPr>
                <w:rFonts w:hint="eastAsia"/>
                <w:szCs w:val="21"/>
              </w:rPr>
            </w:pPr>
            <w:r>
              <w:rPr>
                <w:rFonts w:hint="eastAsia"/>
                <w:szCs w:val="21"/>
              </w:rPr>
              <w:t>合计</w:t>
            </w:r>
          </w:p>
        </w:tc>
        <w:tc>
          <w:tcPr>
            <w:tcW w:w="1281" w:type="dxa"/>
            <w:noWrap w:val="0"/>
            <w:vAlign w:val="center"/>
          </w:tcPr>
          <w:p>
            <w:pPr>
              <w:jc w:val="center"/>
              <w:rPr>
                <w:rFonts w:hint="eastAsia"/>
                <w:szCs w:val="21"/>
              </w:rPr>
            </w:pPr>
            <w:r>
              <w:rPr>
                <w:rFonts w:hint="eastAsia"/>
                <w:szCs w:val="21"/>
              </w:rPr>
              <w:t>43.44</w:t>
            </w:r>
          </w:p>
        </w:tc>
        <w:tc>
          <w:tcPr>
            <w:tcW w:w="1276" w:type="dxa"/>
            <w:noWrap w:val="0"/>
            <w:vAlign w:val="center"/>
          </w:tcPr>
          <w:p>
            <w:pPr>
              <w:jc w:val="center"/>
              <w:rPr>
                <w:szCs w:val="21"/>
              </w:rPr>
            </w:pPr>
          </w:p>
        </w:tc>
        <w:tc>
          <w:tcPr>
            <w:tcW w:w="2460" w:type="dxa"/>
            <w:noWrap w:val="0"/>
            <w:vAlign w:val="center"/>
          </w:tcPr>
          <w:p>
            <w:pPr>
              <w:jc w:val="center"/>
              <w:rPr>
                <w:rFonts w:hint="eastAsia"/>
                <w:szCs w:val="21"/>
              </w:rPr>
            </w:pPr>
          </w:p>
        </w:tc>
      </w:tr>
    </w:tbl>
    <w:p>
      <w:r>
        <w:rPr>
          <w:rFonts w:hint="eastAsia"/>
        </w:rPr>
        <w:t>投标报价说明：</w:t>
      </w:r>
    </w:p>
    <w:p>
      <w:pPr>
        <w:ind w:firstLine="420" w:firstLineChars="200"/>
      </w:pPr>
      <w:r>
        <w:rPr>
          <w:rFonts w:hint="eastAsia"/>
        </w:rPr>
        <w:t>※投标报价需</w:t>
      </w:r>
      <w:r>
        <w:rPr>
          <w:rFonts w:hint="eastAsia" w:ascii="宋体" w:hAnsi="宋体"/>
        </w:rPr>
        <w:t>≦</w:t>
      </w:r>
      <w:r>
        <w:rPr>
          <w:rFonts w:hint="eastAsia"/>
        </w:rPr>
        <w:t>限额标准，超出限额标准视为无效报价，取消投标商中标资格。</w:t>
      </w:r>
    </w:p>
    <w:p>
      <w:pPr>
        <w:spacing w:line="360" w:lineRule="auto"/>
        <w:ind w:firstLine="480" w:firstLineChars="200"/>
        <w:rPr>
          <w:rFonts w:hint="eastAsia"/>
          <w:sz w:val="24"/>
        </w:rPr>
      </w:pPr>
      <w:r>
        <w:rPr>
          <w:rFonts w:hint="eastAsia"/>
          <w:sz w:val="24"/>
        </w:rPr>
        <w:t>5.动力维修与运行其他服务保障及其他计提费用实施定价机制，费用核算方式按下表规定执行，具体费用结算以付款周期内双方签证为准。</w:t>
      </w:r>
    </w:p>
    <w:p>
      <w:pPr>
        <w:ind w:firstLine="422" w:firstLineChars="200"/>
        <w:jc w:val="center"/>
        <w:rPr>
          <w:rFonts w:hint="eastAsia"/>
          <w:b/>
        </w:rPr>
      </w:pPr>
    </w:p>
    <w:p>
      <w:pPr>
        <w:ind w:firstLine="422" w:firstLineChars="200"/>
        <w:jc w:val="center"/>
        <w:rPr>
          <w:rFonts w:hint="eastAsia"/>
          <w:b/>
        </w:rPr>
      </w:pPr>
    </w:p>
    <w:p>
      <w:pPr>
        <w:ind w:firstLine="422" w:firstLineChars="200"/>
        <w:jc w:val="center"/>
        <w:rPr>
          <w:rFonts w:hint="eastAsia"/>
          <w:b/>
        </w:rPr>
      </w:pPr>
    </w:p>
    <w:p>
      <w:pPr>
        <w:ind w:firstLine="422" w:firstLineChars="200"/>
        <w:jc w:val="center"/>
        <w:rPr>
          <w:rFonts w:hint="eastAsia"/>
          <w:b/>
        </w:rPr>
      </w:pPr>
    </w:p>
    <w:p>
      <w:pPr>
        <w:ind w:firstLine="422" w:firstLineChars="200"/>
        <w:jc w:val="center"/>
        <w:rPr>
          <w:rFonts w:hint="eastAsia"/>
          <w:b/>
        </w:rPr>
      </w:pPr>
    </w:p>
    <w:p>
      <w:pPr>
        <w:ind w:firstLine="422" w:firstLineChars="200"/>
        <w:jc w:val="center"/>
        <w:rPr>
          <w:b/>
        </w:rPr>
      </w:pPr>
      <w:r>
        <w:rPr>
          <w:rFonts w:hint="eastAsia"/>
          <w:b/>
        </w:rPr>
        <w:t>动力维修与运行、服务保障及其他计提费用定价表及核算方式</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2450"/>
        <w:gridCol w:w="759"/>
        <w:gridCol w:w="1006"/>
        <w:gridCol w:w="2497"/>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0" w:type="auto"/>
            <w:noWrap w:val="0"/>
            <w:vAlign w:val="center"/>
          </w:tcPr>
          <w:p>
            <w:pPr>
              <w:jc w:val="center"/>
              <w:rPr>
                <w:b/>
                <w:szCs w:val="21"/>
              </w:rPr>
            </w:pPr>
            <w:r>
              <w:rPr>
                <w:rFonts w:hint="eastAsia"/>
                <w:b/>
                <w:szCs w:val="21"/>
              </w:rPr>
              <w:t>序号</w:t>
            </w:r>
          </w:p>
        </w:tc>
        <w:tc>
          <w:tcPr>
            <w:tcW w:w="2450" w:type="dxa"/>
            <w:noWrap w:val="0"/>
            <w:vAlign w:val="center"/>
          </w:tcPr>
          <w:p>
            <w:pPr>
              <w:jc w:val="center"/>
              <w:rPr>
                <w:b/>
                <w:szCs w:val="21"/>
              </w:rPr>
            </w:pPr>
            <w:r>
              <w:rPr>
                <w:rFonts w:hint="eastAsia"/>
                <w:b/>
                <w:szCs w:val="21"/>
              </w:rPr>
              <w:t>服务项目名称</w:t>
            </w:r>
          </w:p>
        </w:tc>
        <w:tc>
          <w:tcPr>
            <w:tcW w:w="759" w:type="dxa"/>
            <w:noWrap w:val="0"/>
            <w:vAlign w:val="center"/>
          </w:tcPr>
          <w:p>
            <w:pPr>
              <w:jc w:val="center"/>
              <w:rPr>
                <w:b/>
                <w:szCs w:val="21"/>
              </w:rPr>
            </w:pPr>
            <w:r>
              <w:rPr>
                <w:rFonts w:hint="eastAsia"/>
                <w:b/>
                <w:szCs w:val="21"/>
              </w:rPr>
              <w:t>服务定价</w:t>
            </w:r>
          </w:p>
        </w:tc>
        <w:tc>
          <w:tcPr>
            <w:tcW w:w="1006" w:type="dxa"/>
            <w:noWrap w:val="0"/>
            <w:vAlign w:val="center"/>
          </w:tcPr>
          <w:p>
            <w:pPr>
              <w:jc w:val="center"/>
              <w:rPr>
                <w:b/>
                <w:szCs w:val="21"/>
              </w:rPr>
            </w:pPr>
            <w:r>
              <w:rPr>
                <w:rFonts w:hint="eastAsia"/>
                <w:b/>
                <w:szCs w:val="21"/>
              </w:rPr>
              <w:t>单位</w:t>
            </w:r>
          </w:p>
        </w:tc>
        <w:tc>
          <w:tcPr>
            <w:tcW w:w="2497" w:type="dxa"/>
            <w:noWrap w:val="0"/>
            <w:vAlign w:val="center"/>
          </w:tcPr>
          <w:p>
            <w:pPr>
              <w:jc w:val="center"/>
              <w:rPr>
                <w:b/>
                <w:szCs w:val="21"/>
              </w:rPr>
            </w:pPr>
            <w:r>
              <w:rPr>
                <w:rFonts w:hint="eastAsia"/>
                <w:b/>
                <w:szCs w:val="21"/>
              </w:rPr>
              <w:t>费用核算方式</w:t>
            </w:r>
          </w:p>
        </w:tc>
        <w:tc>
          <w:tcPr>
            <w:tcW w:w="1381" w:type="dxa"/>
            <w:noWrap w:val="0"/>
            <w:vAlign w:val="center"/>
          </w:tcPr>
          <w:p>
            <w:pPr>
              <w:jc w:val="center"/>
              <w:rPr>
                <w:b/>
                <w:szCs w:val="21"/>
              </w:rPr>
            </w:pPr>
            <w:r>
              <w:rPr>
                <w:rFonts w:hint="eastAsia"/>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w:t>
            </w:r>
          </w:p>
        </w:tc>
        <w:tc>
          <w:tcPr>
            <w:tcW w:w="2450" w:type="dxa"/>
            <w:noWrap w:val="0"/>
            <w:vAlign w:val="center"/>
          </w:tcPr>
          <w:p>
            <w:pPr>
              <w:jc w:val="center"/>
              <w:rPr>
                <w:szCs w:val="21"/>
              </w:rPr>
            </w:pPr>
            <w:r>
              <w:rPr>
                <w:rFonts w:hint="eastAsia"/>
                <w:szCs w:val="21"/>
              </w:rPr>
              <w:t>电力（含照明灯具）零修材料费</w:t>
            </w:r>
          </w:p>
        </w:tc>
        <w:tc>
          <w:tcPr>
            <w:tcW w:w="759" w:type="dxa"/>
            <w:noWrap w:val="0"/>
            <w:vAlign w:val="center"/>
          </w:tcPr>
          <w:p>
            <w:pPr>
              <w:jc w:val="center"/>
              <w:rPr>
                <w:szCs w:val="21"/>
              </w:rPr>
            </w:pPr>
            <w:r>
              <w:rPr>
                <w:rFonts w:hint="eastAsia"/>
                <w:szCs w:val="21"/>
              </w:rPr>
              <w:t>2</w:t>
            </w:r>
          </w:p>
        </w:tc>
        <w:tc>
          <w:tcPr>
            <w:tcW w:w="1006" w:type="dxa"/>
            <w:noWrap w:val="0"/>
            <w:vAlign w:val="center"/>
          </w:tcPr>
          <w:p>
            <w:pPr>
              <w:jc w:val="center"/>
              <w:rPr>
                <w:szCs w:val="21"/>
              </w:rPr>
            </w:pPr>
            <w:r>
              <w:rPr>
                <w:rFonts w:hint="eastAsia"/>
                <w:szCs w:val="21"/>
              </w:rPr>
              <w:t>万元/年</w:t>
            </w:r>
          </w:p>
        </w:tc>
        <w:tc>
          <w:tcPr>
            <w:tcW w:w="2497" w:type="dxa"/>
            <w:noWrap w:val="0"/>
            <w:vAlign w:val="center"/>
          </w:tcPr>
          <w:p>
            <w:pPr>
              <w:jc w:val="center"/>
              <w:rPr>
                <w:szCs w:val="21"/>
              </w:rPr>
            </w:pPr>
            <w:r>
              <w:rPr>
                <w:rFonts w:hint="eastAsia"/>
                <w:szCs w:val="21"/>
              </w:rPr>
              <w:t>按实际接管楼宇建筑面积分摊按月核算</w:t>
            </w:r>
          </w:p>
        </w:tc>
        <w:tc>
          <w:tcPr>
            <w:tcW w:w="1381" w:type="dxa"/>
            <w:vMerge w:val="restart"/>
            <w:noWrap w:val="0"/>
            <w:vAlign w:val="center"/>
          </w:tcPr>
          <w:p>
            <w:pPr>
              <w:jc w:val="center"/>
              <w:rPr>
                <w:szCs w:val="21"/>
              </w:rPr>
            </w:pPr>
            <w:r>
              <w:rPr>
                <w:rFonts w:hint="eastAsia"/>
                <w:szCs w:val="21"/>
              </w:rPr>
              <w:t>单项维修材料</w:t>
            </w:r>
            <w:r>
              <w:rPr>
                <w:rFonts w:hint="eastAsia" w:ascii="宋体" w:hAnsi="宋体"/>
                <w:szCs w:val="21"/>
              </w:rPr>
              <w:t>≦</w:t>
            </w:r>
            <w:r>
              <w:rPr>
                <w:rFonts w:hint="eastAsia"/>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w:t>
            </w:r>
          </w:p>
        </w:tc>
        <w:tc>
          <w:tcPr>
            <w:tcW w:w="2450" w:type="dxa"/>
            <w:noWrap w:val="0"/>
            <w:vAlign w:val="center"/>
          </w:tcPr>
          <w:p>
            <w:pPr>
              <w:jc w:val="center"/>
              <w:rPr>
                <w:szCs w:val="21"/>
              </w:rPr>
            </w:pPr>
            <w:r>
              <w:rPr>
                <w:rFonts w:hint="eastAsia"/>
                <w:szCs w:val="21"/>
              </w:rPr>
              <w:t>水暖零修材料费</w:t>
            </w:r>
          </w:p>
        </w:tc>
        <w:tc>
          <w:tcPr>
            <w:tcW w:w="759" w:type="dxa"/>
            <w:noWrap w:val="0"/>
            <w:vAlign w:val="center"/>
          </w:tcPr>
          <w:p>
            <w:pPr>
              <w:jc w:val="center"/>
              <w:rPr>
                <w:szCs w:val="21"/>
              </w:rPr>
            </w:pPr>
            <w:r>
              <w:rPr>
                <w:rFonts w:hint="eastAsia"/>
                <w:szCs w:val="21"/>
              </w:rPr>
              <w:t>1.5</w:t>
            </w:r>
          </w:p>
        </w:tc>
        <w:tc>
          <w:tcPr>
            <w:tcW w:w="1006" w:type="dxa"/>
            <w:noWrap w:val="0"/>
            <w:vAlign w:val="center"/>
          </w:tcPr>
          <w:p>
            <w:pPr>
              <w:jc w:val="center"/>
              <w:rPr>
                <w:szCs w:val="21"/>
              </w:rPr>
            </w:pPr>
            <w:r>
              <w:rPr>
                <w:rFonts w:hint="eastAsia"/>
                <w:szCs w:val="21"/>
              </w:rPr>
              <w:t>万元/年</w:t>
            </w:r>
          </w:p>
        </w:tc>
        <w:tc>
          <w:tcPr>
            <w:tcW w:w="2497" w:type="dxa"/>
            <w:noWrap w:val="0"/>
            <w:vAlign w:val="center"/>
          </w:tcPr>
          <w:p>
            <w:pPr>
              <w:jc w:val="center"/>
              <w:rPr>
                <w:szCs w:val="21"/>
              </w:rPr>
            </w:pPr>
            <w:r>
              <w:rPr>
                <w:rFonts w:hint="eastAsia"/>
                <w:szCs w:val="21"/>
              </w:rPr>
              <w:t>按实际接管楼宇建筑面积分摊按月核算</w:t>
            </w:r>
          </w:p>
        </w:tc>
        <w:tc>
          <w:tcPr>
            <w:tcW w:w="1381"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3</w:t>
            </w:r>
          </w:p>
        </w:tc>
        <w:tc>
          <w:tcPr>
            <w:tcW w:w="2450" w:type="dxa"/>
            <w:noWrap w:val="0"/>
            <w:vAlign w:val="center"/>
          </w:tcPr>
          <w:p>
            <w:pPr>
              <w:jc w:val="center"/>
              <w:rPr>
                <w:szCs w:val="21"/>
              </w:rPr>
            </w:pPr>
            <w:r>
              <w:rPr>
                <w:rFonts w:hint="eastAsia"/>
                <w:szCs w:val="21"/>
              </w:rPr>
              <w:t>门、窗等土建零修材料费</w:t>
            </w:r>
          </w:p>
        </w:tc>
        <w:tc>
          <w:tcPr>
            <w:tcW w:w="759" w:type="dxa"/>
            <w:noWrap w:val="0"/>
            <w:vAlign w:val="center"/>
          </w:tcPr>
          <w:p>
            <w:pPr>
              <w:jc w:val="center"/>
              <w:rPr>
                <w:szCs w:val="21"/>
              </w:rPr>
            </w:pPr>
            <w:r>
              <w:rPr>
                <w:rFonts w:hint="eastAsia"/>
                <w:szCs w:val="21"/>
              </w:rPr>
              <w:t>3</w:t>
            </w:r>
          </w:p>
        </w:tc>
        <w:tc>
          <w:tcPr>
            <w:tcW w:w="1006" w:type="dxa"/>
            <w:noWrap w:val="0"/>
            <w:vAlign w:val="center"/>
          </w:tcPr>
          <w:p>
            <w:pPr>
              <w:jc w:val="center"/>
              <w:rPr>
                <w:szCs w:val="21"/>
              </w:rPr>
            </w:pPr>
            <w:r>
              <w:rPr>
                <w:rFonts w:hint="eastAsia"/>
                <w:szCs w:val="21"/>
              </w:rPr>
              <w:t>万元/年</w:t>
            </w:r>
          </w:p>
        </w:tc>
        <w:tc>
          <w:tcPr>
            <w:tcW w:w="2497" w:type="dxa"/>
            <w:noWrap w:val="0"/>
            <w:vAlign w:val="center"/>
          </w:tcPr>
          <w:p>
            <w:pPr>
              <w:jc w:val="center"/>
              <w:rPr>
                <w:szCs w:val="21"/>
              </w:rPr>
            </w:pPr>
            <w:r>
              <w:rPr>
                <w:rFonts w:hint="eastAsia"/>
                <w:szCs w:val="21"/>
              </w:rPr>
              <w:t>按实际接管楼宇建筑面积分摊按月核算</w:t>
            </w:r>
          </w:p>
        </w:tc>
        <w:tc>
          <w:tcPr>
            <w:tcW w:w="1381"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4</w:t>
            </w:r>
          </w:p>
        </w:tc>
        <w:tc>
          <w:tcPr>
            <w:tcW w:w="2450" w:type="dxa"/>
            <w:noWrap w:val="0"/>
            <w:vAlign w:val="center"/>
          </w:tcPr>
          <w:p>
            <w:pPr>
              <w:jc w:val="center"/>
              <w:rPr>
                <w:szCs w:val="21"/>
              </w:rPr>
            </w:pPr>
            <w:r>
              <w:rPr>
                <w:rFonts w:hint="eastAsia"/>
                <w:szCs w:val="21"/>
              </w:rPr>
              <w:t>消防、空调、监控、电梯、室外环境等其他不可预见零修材料费</w:t>
            </w:r>
          </w:p>
        </w:tc>
        <w:tc>
          <w:tcPr>
            <w:tcW w:w="759" w:type="dxa"/>
            <w:noWrap w:val="0"/>
            <w:vAlign w:val="center"/>
          </w:tcPr>
          <w:p>
            <w:pPr>
              <w:jc w:val="center"/>
              <w:rPr>
                <w:szCs w:val="21"/>
              </w:rPr>
            </w:pPr>
            <w:r>
              <w:rPr>
                <w:rFonts w:hint="eastAsia"/>
                <w:szCs w:val="21"/>
              </w:rPr>
              <w:t>3</w:t>
            </w:r>
          </w:p>
        </w:tc>
        <w:tc>
          <w:tcPr>
            <w:tcW w:w="1006" w:type="dxa"/>
            <w:noWrap w:val="0"/>
            <w:vAlign w:val="center"/>
          </w:tcPr>
          <w:p>
            <w:pPr>
              <w:jc w:val="center"/>
              <w:rPr>
                <w:szCs w:val="21"/>
              </w:rPr>
            </w:pPr>
            <w:r>
              <w:rPr>
                <w:rFonts w:hint="eastAsia"/>
                <w:szCs w:val="21"/>
              </w:rPr>
              <w:t>万元/年</w:t>
            </w:r>
          </w:p>
        </w:tc>
        <w:tc>
          <w:tcPr>
            <w:tcW w:w="2497" w:type="dxa"/>
            <w:noWrap w:val="0"/>
            <w:vAlign w:val="center"/>
          </w:tcPr>
          <w:p>
            <w:pPr>
              <w:jc w:val="center"/>
              <w:rPr>
                <w:szCs w:val="21"/>
              </w:rPr>
            </w:pPr>
            <w:r>
              <w:rPr>
                <w:rFonts w:hint="eastAsia"/>
                <w:szCs w:val="21"/>
              </w:rPr>
              <w:t>每年首个付款周期支付</w:t>
            </w:r>
          </w:p>
        </w:tc>
        <w:tc>
          <w:tcPr>
            <w:tcW w:w="1381" w:type="dxa"/>
            <w:vMerge w:val="continue"/>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5</w:t>
            </w:r>
          </w:p>
        </w:tc>
        <w:tc>
          <w:tcPr>
            <w:tcW w:w="2450" w:type="dxa"/>
            <w:noWrap w:val="0"/>
            <w:vAlign w:val="center"/>
          </w:tcPr>
          <w:p>
            <w:pPr>
              <w:jc w:val="center"/>
              <w:rPr>
                <w:szCs w:val="21"/>
              </w:rPr>
            </w:pPr>
            <w:r>
              <w:rPr>
                <w:rFonts w:hint="eastAsia"/>
                <w:szCs w:val="21"/>
              </w:rPr>
              <w:t>超出零修范围材料费</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按实际发生经甲方签证同意后核算</w:t>
            </w:r>
          </w:p>
        </w:tc>
        <w:tc>
          <w:tcPr>
            <w:tcW w:w="1381" w:type="dxa"/>
            <w:noWrap w:val="0"/>
            <w:vAlign w:val="center"/>
          </w:tcPr>
          <w:p>
            <w:pPr>
              <w:jc w:val="center"/>
              <w:rPr>
                <w:szCs w:val="21"/>
              </w:rPr>
            </w:pPr>
            <w:r>
              <w:rPr>
                <w:rFonts w:hint="eastAsia"/>
                <w:szCs w:val="21"/>
              </w:rPr>
              <w:t>单项维修材料</w:t>
            </w:r>
            <w:r>
              <w:rPr>
                <w:rFonts w:hint="eastAsia" w:ascii="宋体" w:hAnsi="宋体"/>
                <w:szCs w:val="21"/>
              </w:rPr>
              <w:t>﹥1000元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6</w:t>
            </w:r>
          </w:p>
        </w:tc>
        <w:tc>
          <w:tcPr>
            <w:tcW w:w="2450" w:type="dxa"/>
            <w:noWrap w:val="0"/>
            <w:vAlign w:val="center"/>
          </w:tcPr>
          <w:p>
            <w:pPr>
              <w:jc w:val="center"/>
              <w:rPr>
                <w:szCs w:val="21"/>
              </w:rPr>
            </w:pPr>
            <w:r>
              <w:rPr>
                <w:rFonts w:hint="eastAsia"/>
                <w:szCs w:val="21"/>
              </w:rPr>
              <w:t>电梯维保费用</w:t>
            </w:r>
          </w:p>
        </w:tc>
        <w:tc>
          <w:tcPr>
            <w:tcW w:w="759" w:type="dxa"/>
            <w:noWrap w:val="0"/>
            <w:vAlign w:val="center"/>
          </w:tcPr>
          <w:p>
            <w:pPr>
              <w:jc w:val="center"/>
              <w:rPr>
                <w:szCs w:val="21"/>
              </w:rPr>
            </w:pPr>
            <w:r>
              <w:rPr>
                <w:rFonts w:hint="eastAsia"/>
                <w:szCs w:val="21"/>
              </w:rPr>
              <w:t>0.48</w:t>
            </w:r>
          </w:p>
        </w:tc>
        <w:tc>
          <w:tcPr>
            <w:tcW w:w="1006" w:type="dxa"/>
            <w:noWrap w:val="0"/>
            <w:vAlign w:val="center"/>
          </w:tcPr>
          <w:p>
            <w:pPr>
              <w:jc w:val="center"/>
              <w:rPr>
                <w:szCs w:val="21"/>
              </w:rPr>
            </w:pPr>
            <w:r>
              <w:rPr>
                <w:rFonts w:hint="eastAsia"/>
                <w:szCs w:val="21"/>
              </w:rPr>
              <w:t>万元/年</w:t>
            </w:r>
            <w:r>
              <w:rPr>
                <w:rFonts w:hint="eastAsia" w:ascii="宋体" w:hAnsi="宋体"/>
                <w:szCs w:val="21"/>
              </w:rPr>
              <w:t>·台</w:t>
            </w:r>
          </w:p>
        </w:tc>
        <w:tc>
          <w:tcPr>
            <w:tcW w:w="2497" w:type="dxa"/>
            <w:noWrap w:val="0"/>
            <w:vAlign w:val="center"/>
          </w:tcPr>
          <w:p>
            <w:pPr>
              <w:jc w:val="center"/>
              <w:rPr>
                <w:szCs w:val="21"/>
              </w:rPr>
            </w:pPr>
            <w:r>
              <w:rPr>
                <w:rFonts w:hint="eastAsia"/>
                <w:szCs w:val="21"/>
              </w:rPr>
              <w:t>按接管时间及数量核算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7</w:t>
            </w:r>
          </w:p>
        </w:tc>
        <w:tc>
          <w:tcPr>
            <w:tcW w:w="2450" w:type="dxa"/>
            <w:noWrap w:val="0"/>
            <w:vAlign w:val="center"/>
          </w:tcPr>
          <w:p>
            <w:pPr>
              <w:jc w:val="center"/>
              <w:rPr>
                <w:szCs w:val="21"/>
              </w:rPr>
            </w:pPr>
            <w:r>
              <w:rPr>
                <w:rFonts w:hint="eastAsia"/>
                <w:szCs w:val="21"/>
              </w:rPr>
              <w:t>电梯年检费用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按实际发生凭发票核算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8</w:t>
            </w:r>
          </w:p>
        </w:tc>
        <w:tc>
          <w:tcPr>
            <w:tcW w:w="2450" w:type="dxa"/>
            <w:noWrap w:val="0"/>
            <w:vAlign w:val="center"/>
          </w:tcPr>
          <w:p>
            <w:pPr>
              <w:jc w:val="center"/>
              <w:rPr>
                <w:szCs w:val="21"/>
              </w:rPr>
            </w:pPr>
            <w:r>
              <w:rPr>
                <w:rFonts w:hint="eastAsia"/>
                <w:szCs w:val="21"/>
              </w:rPr>
              <w:t>天车维保费用</w:t>
            </w:r>
          </w:p>
        </w:tc>
        <w:tc>
          <w:tcPr>
            <w:tcW w:w="759" w:type="dxa"/>
            <w:noWrap w:val="0"/>
            <w:vAlign w:val="center"/>
          </w:tcPr>
          <w:p>
            <w:pPr>
              <w:jc w:val="center"/>
              <w:rPr>
                <w:szCs w:val="21"/>
              </w:rPr>
            </w:pPr>
            <w:r>
              <w:rPr>
                <w:rFonts w:hint="eastAsia"/>
                <w:szCs w:val="21"/>
              </w:rPr>
              <w:t>0.90</w:t>
            </w:r>
          </w:p>
        </w:tc>
        <w:tc>
          <w:tcPr>
            <w:tcW w:w="1006" w:type="dxa"/>
            <w:noWrap w:val="0"/>
            <w:vAlign w:val="center"/>
          </w:tcPr>
          <w:p>
            <w:pPr>
              <w:jc w:val="center"/>
              <w:rPr>
                <w:szCs w:val="21"/>
              </w:rPr>
            </w:pPr>
            <w:r>
              <w:rPr>
                <w:rFonts w:hint="eastAsia"/>
                <w:szCs w:val="21"/>
              </w:rPr>
              <w:t>万元/年</w:t>
            </w:r>
            <w:r>
              <w:rPr>
                <w:rFonts w:hint="eastAsia" w:ascii="宋体" w:hAnsi="宋体"/>
                <w:szCs w:val="21"/>
              </w:rPr>
              <w:t>·台</w:t>
            </w:r>
          </w:p>
        </w:tc>
        <w:tc>
          <w:tcPr>
            <w:tcW w:w="2497" w:type="dxa"/>
            <w:noWrap w:val="0"/>
            <w:vAlign w:val="center"/>
          </w:tcPr>
          <w:p>
            <w:pPr>
              <w:jc w:val="center"/>
              <w:rPr>
                <w:szCs w:val="21"/>
              </w:rPr>
            </w:pPr>
            <w:r>
              <w:rPr>
                <w:rFonts w:hint="eastAsia"/>
                <w:szCs w:val="21"/>
              </w:rPr>
              <w:t>按接管时间及数量核算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0" w:type="auto"/>
            <w:noWrap w:val="0"/>
            <w:vAlign w:val="center"/>
          </w:tcPr>
          <w:p>
            <w:pPr>
              <w:jc w:val="center"/>
              <w:rPr>
                <w:szCs w:val="21"/>
              </w:rPr>
            </w:pPr>
            <w:r>
              <w:rPr>
                <w:rFonts w:hint="eastAsia"/>
                <w:szCs w:val="21"/>
              </w:rPr>
              <w:t>9</w:t>
            </w:r>
          </w:p>
        </w:tc>
        <w:tc>
          <w:tcPr>
            <w:tcW w:w="2450" w:type="dxa"/>
            <w:noWrap w:val="0"/>
            <w:vAlign w:val="center"/>
          </w:tcPr>
          <w:p>
            <w:pPr>
              <w:jc w:val="center"/>
              <w:rPr>
                <w:szCs w:val="21"/>
              </w:rPr>
            </w:pPr>
            <w:r>
              <w:rPr>
                <w:rFonts w:hint="eastAsia"/>
                <w:szCs w:val="21"/>
              </w:rPr>
              <w:t>天车年检费用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按实际发生凭发票核算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10</w:t>
            </w:r>
          </w:p>
        </w:tc>
        <w:tc>
          <w:tcPr>
            <w:tcW w:w="2450" w:type="dxa"/>
            <w:noWrap w:val="0"/>
            <w:vAlign w:val="center"/>
          </w:tcPr>
          <w:p>
            <w:pPr>
              <w:jc w:val="center"/>
              <w:rPr>
                <w:szCs w:val="21"/>
              </w:rPr>
            </w:pPr>
            <w:r>
              <w:rPr>
                <w:rFonts w:hint="eastAsia"/>
                <w:szCs w:val="21"/>
              </w:rPr>
              <w:t>水箱消毒、水质检测费用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按实际发生凭发票结算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11</w:t>
            </w:r>
          </w:p>
        </w:tc>
        <w:tc>
          <w:tcPr>
            <w:tcW w:w="2450" w:type="dxa"/>
            <w:noWrap w:val="0"/>
            <w:vAlign w:val="center"/>
          </w:tcPr>
          <w:p>
            <w:pPr>
              <w:jc w:val="center"/>
              <w:rPr>
                <w:szCs w:val="21"/>
              </w:rPr>
            </w:pPr>
            <w:r>
              <w:rPr>
                <w:rFonts w:hint="eastAsia"/>
                <w:szCs w:val="21"/>
              </w:rPr>
              <w:t>其他设备设施维护维保检测费用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经甲方签证同意按实际发生核算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23</w:t>
            </w:r>
          </w:p>
        </w:tc>
        <w:tc>
          <w:tcPr>
            <w:tcW w:w="2450" w:type="dxa"/>
            <w:noWrap w:val="0"/>
            <w:vAlign w:val="center"/>
          </w:tcPr>
          <w:p>
            <w:pPr>
              <w:jc w:val="center"/>
              <w:rPr>
                <w:szCs w:val="21"/>
              </w:rPr>
            </w:pPr>
            <w:r>
              <w:rPr>
                <w:rFonts w:hint="eastAsia"/>
                <w:szCs w:val="21"/>
              </w:rPr>
              <w:t>清冰雪费用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按实际清雪面积经甲方签证按实际发生核算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24</w:t>
            </w:r>
          </w:p>
        </w:tc>
        <w:tc>
          <w:tcPr>
            <w:tcW w:w="2450" w:type="dxa"/>
            <w:noWrap w:val="0"/>
            <w:vAlign w:val="center"/>
          </w:tcPr>
          <w:p>
            <w:pPr>
              <w:jc w:val="center"/>
              <w:rPr>
                <w:szCs w:val="21"/>
              </w:rPr>
            </w:pPr>
            <w:r>
              <w:rPr>
                <w:rFonts w:hint="eastAsia"/>
                <w:szCs w:val="21"/>
              </w:rPr>
              <w:t>垃圾桶（箱）等配套基础设施费用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按实际发生经甲方签证同意后核算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25</w:t>
            </w:r>
          </w:p>
        </w:tc>
        <w:tc>
          <w:tcPr>
            <w:tcW w:w="2450" w:type="dxa"/>
            <w:noWrap w:val="0"/>
            <w:vAlign w:val="center"/>
          </w:tcPr>
          <w:p>
            <w:pPr>
              <w:jc w:val="center"/>
              <w:rPr>
                <w:szCs w:val="21"/>
              </w:rPr>
            </w:pPr>
            <w:r>
              <w:rPr>
                <w:rFonts w:hint="eastAsia"/>
                <w:szCs w:val="21"/>
              </w:rPr>
              <w:t>卫生防疫物资费用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按实际发生经甲方签证同意后核算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26</w:t>
            </w:r>
          </w:p>
        </w:tc>
        <w:tc>
          <w:tcPr>
            <w:tcW w:w="2450" w:type="dxa"/>
            <w:noWrap w:val="0"/>
            <w:vAlign w:val="center"/>
          </w:tcPr>
          <w:p>
            <w:pPr>
              <w:jc w:val="center"/>
              <w:rPr>
                <w:szCs w:val="21"/>
              </w:rPr>
            </w:pPr>
            <w:r>
              <w:rPr>
                <w:rFonts w:hint="eastAsia"/>
                <w:szCs w:val="21"/>
              </w:rPr>
              <w:t>其他不可预见费用</w:t>
            </w:r>
          </w:p>
        </w:tc>
        <w:tc>
          <w:tcPr>
            <w:tcW w:w="759" w:type="dxa"/>
            <w:noWrap w:val="0"/>
            <w:vAlign w:val="center"/>
          </w:tcPr>
          <w:p>
            <w:pPr>
              <w:jc w:val="center"/>
              <w:rPr>
                <w:szCs w:val="21"/>
              </w:rPr>
            </w:pP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按实际发生经甲方签证同意后结算</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27</w:t>
            </w:r>
          </w:p>
        </w:tc>
        <w:tc>
          <w:tcPr>
            <w:tcW w:w="2450" w:type="dxa"/>
            <w:noWrap w:val="0"/>
            <w:vAlign w:val="center"/>
          </w:tcPr>
          <w:p>
            <w:pPr>
              <w:jc w:val="center"/>
              <w:rPr>
                <w:szCs w:val="21"/>
              </w:rPr>
            </w:pPr>
            <w:r>
              <w:rPr>
                <w:rFonts w:hint="eastAsia"/>
                <w:szCs w:val="21"/>
              </w:rPr>
              <w:t>管理佣金（含利润）</w:t>
            </w:r>
          </w:p>
        </w:tc>
        <w:tc>
          <w:tcPr>
            <w:tcW w:w="759" w:type="dxa"/>
            <w:noWrap w:val="0"/>
            <w:vAlign w:val="center"/>
          </w:tcPr>
          <w:p>
            <w:pPr>
              <w:jc w:val="center"/>
              <w:rPr>
                <w:szCs w:val="21"/>
              </w:rPr>
            </w:pPr>
            <w:r>
              <w:rPr>
                <w:rFonts w:hint="eastAsia"/>
                <w:szCs w:val="21"/>
              </w:rPr>
              <w:t>8%</w:t>
            </w: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按付款周期各项费用总和计提</w:t>
            </w:r>
          </w:p>
        </w:tc>
        <w:tc>
          <w:tcPr>
            <w:tcW w:w="1381" w:type="dxa"/>
            <w:noWrap w:val="0"/>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noWrap w:val="0"/>
            <w:vAlign w:val="center"/>
          </w:tcPr>
          <w:p>
            <w:pPr>
              <w:jc w:val="center"/>
              <w:rPr>
                <w:szCs w:val="21"/>
              </w:rPr>
            </w:pPr>
            <w:r>
              <w:rPr>
                <w:rFonts w:hint="eastAsia"/>
                <w:szCs w:val="21"/>
              </w:rPr>
              <w:t>28</w:t>
            </w:r>
          </w:p>
        </w:tc>
        <w:tc>
          <w:tcPr>
            <w:tcW w:w="2450" w:type="dxa"/>
            <w:noWrap w:val="0"/>
            <w:vAlign w:val="center"/>
          </w:tcPr>
          <w:p>
            <w:pPr>
              <w:jc w:val="center"/>
              <w:rPr>
                <w:szCs w:val="21"/>
              </w:rPr>
            </w:pPr>
            <w:r>
              <w:rPr>
                <w:rFonts w:hint="eastAsia"/>
                <w:szCs w:val="21"/>
              </w:rPr>
              <w:t>法定税金</w:t>
            </w:r>
          </w:p>
        </w:tc>
        <w:tc>
          <w:tcPr>
            <w:tcW w:w="759" w:type="dxa"/>
            <w:noWrap w:val="0"/>
            <w:vAlign w:val="center"/>
          </w:tcPr>
          <w:p>
            <w:pPr>
              <w:jc w:val="center"/>
              <w:rPr>
                <w:szCs w:val="21"/>
              </w:rPr>
            </w:pPr>
            <w:r>
              <w:rPr>
                <w:rFonts w:hint="eastAsia"/>
                <w:szCs w:val="21"/>
              </w:rPr>
              <w:t>6.72%</w:t>
            </w:r>
          </w:p>
        </w:tc>
        <w:tc>
          <w:tcPr>
            <w:tcW w:w="1006" w:type="dxa"/>
            <w:noWrap w:val="0"/>
            <w:vAlign w:val="center"/>
          </w:tcPr>
          <w:p>
            <w:pPr>
              <w:jc w:val="center"/>
              <w:rPr>
                <w:szCs w:val="21"/>
              </w:rPr>
            </w:pPr>
          </w:p>
        </w:tc>
        <w:tc>
          <w:tcPr>
            <w:tcW w:w="2497" w:type="dxa"/>
            <w:noWrap w:val="0"/>
            <w:vAlign w:val="center"/>
          </w:tcPr>
          <w:p>
            <w:pPr>
              <w:jc w:val="center"/>
              <w:rPr>
                <w:szCs w:val="21"/>
              </w:rPr>
            </w:pPr>
            <w:r>
              <w:rPr>
                <w:rFonts w:hint="eastAsia"/>
                <w:szCs w:val="21"/>
              </w:rPr>
              <w:t>按付款周期各项费用总和（含管理佣金）计提</w:t>
            </w:r>
          </w:p>
        </w:tc>
        <w:tc>
          <w:tcPr>
            <w:tcW w:w="1381" w:type="dxa"/>
            <w:noWrap w:val="0"/>
            <w:vAlign w:val="center"/>
          </w:tcPr>
          <w:p>
            <w:pPr>
              <w:jc w:val="center"/>
              <w:rPr>
                <w:szCs w:val="21"/>
              </w:rPr>
            </w:pPr>
          </w:p>
        </w:tc>
      </w:tr>
    </w:tbl>
    <w:p>
      <w:pPr>
        <w:spacing w:line="360" w:lineRule="auto"/>
        <w:ind w:firstLine="482" w:firstLineChars="200"/>
        <w:rPr>
          <w:b/>
          <w:sz w:val="24"/>
        </w:rPr>
      </w:pPr>
      <w:r>
        <w:rPr>
          <w:rFonts w:hint="eastAsia"/>
          <w:b/>
          <w:sz w:val="24"/>
        </w:rPr>
        <w:t>第三项：其他注意事项</w:t>
      </w:r>
    </w:p>
    <w:p>
      <w:pPr>
        <w:spacing w:line="360" w:lineRule="auto"/>
        <w:ind w:firstLine="480" w:firstLineChars="200"/>
        <w:rPr>
          <w:rFonts w:hint="eastAsia"/>
          <w:sz w:val="24"/>
        </w:rPr>
      </w:pPr>
      <w:r>
        <w:rPr>
          <w:rFonts w:hint="eastAsia"/>
          <w:sz w:val="24"/>
        </w:rPr>
        <w:t>1.用工风险：物业公司员工在工作期间发生工伤事故全部费用由物业公司承担，物业公司用工应签订劳动协议，并办理合法用工手续。如因用工不当，给甲方造成损失由物业公司承担。</w:t>
      </w:r>
    </w:p>
    <w:p>
      <w:pPr>
        <w:spacing w:line="360" w:lineRule="auto"/>
        <w:ind w:firstLine="480" w:firstLineChars="200"/>
        <w:rPr>
          <w:rFonts w:hint="eastAsia" w:ascii="宋体" w:hAnsi="宋体"/>
          <w:sz w:val="24"/>
        </w:rPr>
      </w:pPr>
      <w:r>
        <w:rPr>
          <w:rFonts w:hint="eastAsia" w:ascii="宋体" w:hAnsi="宋体"/>
          <w:sz w:val="24"/>
        </w:rPr>
        <w:t>2.投标报价方式：投标人应根据招标文件的要求写明本项目的物业管理费用单价金额（年）、总报价金额（贰年）、各岗位人员薪酬投标报价金额（元/月）及其他服务保障项目经费报价，各项报价只允许有一个报价。</w:t>
      </w:r>
    </w:p>
    <w:p>
      <w:r>
        <w:rPr>
          <w:rFonts w:hint="eastAsia" w:ascii="宋体" w:hAnsi="宋体"/>
          <w:sz w:val="24"/>
        </w:rPr>
        <w:t>3.履约保证金：按年物业费用5%缴纳，合同到期后，甲乙双方履行交接手续无异议一次性退还，履约过程中，因乙方原因造成甲方损失，甲方有权按损失情况扣除相应保证金。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5C6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2021-01-05T05:50:09Z</dcterms:created>
  <dc:creator>Administrator.PC-20151222GRIG</dc:creator>
  <cp:lastModifiedBy>邱实</cp:lastModifiedBy>
  <dcterms:modified xsi:type="dcterms:W3CDTF">2021-01-05T05:50:16Z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