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采购人需求</w:t>
      </w:r>
    </w:p>
    <w:p>
      <w:pPr>
        <w:bidi w:val="0"/>
        <w:rPr>
          <w:rFonts w:hint="eastAsia" w:ascii="Times New Roman" w:hAnsi="Times New Roman" w:eastAsia="宋体" w:cs="Times New Roman"/>
          <w:kern w:val="2"/>
          <w:sz w:val="21"/>
          <w:szCs w:val="24"/>
          <w:lang w:val="en-US" w:eastAsia="zh-CN" w:bidi="ar-SA"/>
        </w:rPr>
      </w:pPr>
    </w:p>
    <w:p>
      <w:pPr>
        <w:pStyle w:val="4"/>
        <w:numPr>
          <w:ilvl w:val="0"/>
          <w:numId w:val="3"/>
        </w:numPr>
        <w:spacing w:before="0" w:after="0"/>
        <w:ind w:left="210" w:right="210"/>
        <w:rPr>
          <w:color w:val="auto"/>
          <w:highlight w:val="none"/>
        </w:rPr>
      </w:pPr>
      <w:bookmarkStart w:id="0" w:name="_Toc21789"/>
      <w:r>
        <w:rPr>
          <w:rFonts w:hint="eastAsia"/>
          <w:color w:val="auto"/>
          <w:highlight w:val="none"/>
        </w:rPr>
        <w:t>采购人需求</w:t>
      </w:r>
      <w:bookmarkEnd w:id="0"/>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Times New Roman"/>
          <w:b/>
          <w:color w:val="auto"/>
          <w:kern w:val="2"/>
          <w:sz w:val="24"/>
          <w:szCs w:val="24"/>
          <w:highlight w:val="none"/>
          <w:lang w:val="en-US" w:eastAsia="zh-CN" w:bidi="ar-SA"/>
        </w:rPr>
        <w:t>一、</w:t>
      </w:r>
      <w:r>
        <w:rPr>
          <w:rFonts w:hint="eastAsia" w:ascii="宋体" w:hAnsi="宋体" w:eastAsia="宋体" w:cs="Times New Roman"/>
          <w:b/>
          <w:color w:val="auto"/>
          <w:kern w:val="2"/>
          <w:sz w:val="24"/>
          <w:szCs w:val="24"/>
          <w:highlight w:val="none"/>
          <w:lang w:val="en-US" w:eastAsia="zh-CN" w:bidi="ar-SA"/>
        </w:rPr>
        <w:fldChar w:fldCharType="begin"/>
      </w:r>
      <w:r>
        <w:rPr>
          <w:rFonts w:hint="eastAsia" w:ascii="宋体" w:hAnsi="宋体" w:eastAsia="宋体" w:cs="Times New Roman"/>
          <w:b/>
          <w:color w:val="auto"/>
          <w:kern w:val="2"/>
          <w:sz w:val="24"/>
          <w:szCs w:val="24"/>
          <w:highlight w:val="none"/>
          <w:lang w:val="en-US" w:eastAsia="zh-CN" w:bidi="ar-SA"/>
        </w:rPr>
        <w:instrText xml:space="preserve"> HYPERLINK "http://cgzx.hit.edu.cn/sfw/javascript:void(0)" </w:instrText>
      </w:r>
      <w:r>
        <w:rPr>
          <w:rFonts w:hint="eastAsia" w:ascii="宋体" w:hAnsi="宋体" w:eastAsia="宋体" w:cs="Times New Roman"/>
          <w:b/>
          <w:color w:val="auto"/>
          <w:kern w:val="2"/>
          <w:sz w:val="24"/>
          <w:szCs w:val="24"/>
          <w:highlight w:val="none"/>
          <w:lang w:val="en-US" w:eastAsia="zh-CN" w:bidi="ar-SA"/>
        </w:rPr>
        <w:fldChar w:fldCharType="separate"/>
      </w:r>
      <w:r>
        <w:rPr>
          <w:rFonts w:hint="eastAsia" w:ascii="宋体" w:hAnsi="宋体" w:eastAsia="宋体" w:cs="Times New Roman"/>
          <w:b/>
          <w:color w:val="auto"/>
          <w:kern w:val="2"/>
          <w:sz w:val="24"/>
          <w:szCs w:val="24"/>
          <w:highlight w:val="none"/>
          <w:lang w:val="en-US" w:eastAsia="zh-CN" w:bidi="ar-SA"/>
        </w:rPr>
        <w:t>家具采购需</w:t>
      </w:r>
      <w:r>
        <w:rPr>
          <w:rFonts w:hint="eastAsia" w:ascii="宋体" w:hAnsi="宋体" w:eastAsia="宋体" w:cs="Times New Roman"/>
          <w:b/>
          <w:color w:val="auto"/>
          <w:kern w:val="2"/>
          <w:sz w:val="24"/>
          <w:szCs w:val="24"/>
          <w:highlight w:val="none"/>
          <w:lang w:val="en-US" w:eastAsia="zh-CN" w:bidi="ar-SA"/>
        </w:rPr>
        <w:fldChar w:fldCharType="end"/>
      </w:r>
      <w:r>
        <w:rPr>
          <w:rFonts w:hint="eastAsia" w:ascii="宋体" w:hAnsi="宋体" w:eastAsia="宋体" w:cs="Times New Roman"/>
          <w:b/>
          <w:color w:val="auto"/>
          <w:kern w:val="2"/>
          <w:sz w:val="24"/>
          <w:szCs w:val="24"/>
          <w:highlight w:val="none"/>
          <w:lang w:val="en-US" w:eastAsia="zh-CN" w:bidi="ar-SA"/>
        </w:rPr>
        <w:t>求明细</w:t>
      </w:r>
    </w:p>
    <w:tbl>
      <w:tblPr>
        <w:tblStyle w:val="14"/>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2403"/>
        <w:gridCol w:w="960"/>
        <w:gridCol w:w="960"/>
        <w:gridCol w:w="960"/>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标段</w:t>
            </w:r>
          </w:p>
        </w:tc>
        <w:tc>
          <w:tcPr>
            <w:tcW w:w="240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名称</w:t>
            </w:r>
          </w:p>
        </w:tc>
        <w:tc>
          <w:tcPr>
            <w:tcW w:w="9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数量</w:t>
            </w:r>
          </w:p>
        </w:tc>
        <w:tc>
          <w:tcPr>
            <w:tcW w:w="9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单位</w:t>
            </w:r>
          </w:p>
        </w:tc>
        <w:tc>
          <w:tcPr>
            <w:tcW w:w="9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单价</w:t>
            </w:r>
          </w:p>
        </w:tc>
        <w:tc>
          <w:tcPr>
            <w:tcW w:w="212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val="0"/>
                <w:bCs/>
                <w:color w:val="auto"/>
                <w:sz w:val="24"/>
                <w:szCs w:val="24"/>
                <w:highlight w:val="none"/>
                <w:lang w:val="en-US" w:eastAsia="zh-CN"/>
              </w:rPr>
              <w:t>第一标段</w:t>
            </w:r>
          </w:p>
        </w:tc>
        <w:tc>
          <w:tcPr>
            <w:tcW w:w="240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上床下桌家具</w:t>
            </w:r>
          </w:p>
        </w:tc>
        <w:tc>
          <w:tcPr>
            <w:tcW w:w="9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1720</w:t>
            </w:r>
          </w:p>
        </w:tc>
        <w:tc>
          <w:tcPr>
            <w:tcW w:w="9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套</w:t>
            </w:r>
          </w:p>
        </w:tc>
        <w:tc>
          <w:tcPr>
            <w:tcW w:w="9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2520</w:t>
            </w:r>
          </w:p>
        </w:tc>
        <w:tc>
          <w:tcPr>
            <w:tcW w:w="212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right"/>
              <w:textAlignment w:val="top"/>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4334400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第二标段</w:t>
            </w:r>
          </w:p>
        </w:tc>
        <w:tc>
          <w:tcPr>
            <w:tcW w:w="240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上床下桌家具</w:t>
            </w:r>
          </w:p>
        </w:tc>
        <w:tc>
          <w:tcPr>
            <w:tcW w:w="9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1720</w:t>
            </w:r>
          </w:p>
        </w:tc>
        <w:tc>
          <w:tcPr>
            <w:tcW w:w="9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套</w:t>
            </w:r>
          </w:p>
        </w:tc>
        <w:tc>
          <w:tcPr>
            <w:tcW w:w="96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2520</w:t>
            </w:r>
          </w:p>
        </w:tc>
        <w:tc>
          <w:tcPr>
            <w:tcW w:w="212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right"/>
              <w:textAlignment w:val="top"/>
              <w:rPr>
                <w:rFonts w:hint="default" w:ascii="宋体" w:hAnsi="宋体" w:eastAsia="宋体" w:cs="宋体"/>
                <w:color w:val="000000"/>
                <w:kern w:val="0"/>
                <w:sz w:val="24"/>
                <w:szCs w:val="24"/>
                <w:highlight w:val="none"/>
                <w:lang w:val="en-US" w:eastAsia="zh-CN" w:bidi="ar"/>
              </w:rPr>
            </w:pPr>
            <w:bookmarkStart w:id="1" w:name="_GoBack"/>
            <w:bookmarkEnd w:id="1"/>
            <w:r>
              <w:rPr>
                <w:rFonts w:hint="eastAsia" w:ascii="宋体" w:hAnsi="宋体" w:eastAsia="宋体" w:cs="宋体"/>
                <w:color w:val="000000"/>
                <w:kern w:val="0"/>
                <w:sz w:val="24"/>
                <w:szCs w:val="24"/>
                <w:highlight w:val="none"/>
                <w:lang w:val="en-US" w:eastAsia="zh-CN" w:bidi="ar"/>
              </w:rPr>
              <w:t>4334400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color w:val="auto"/>
          <w:sz w:val="24"/>
          <w:highlight w:val="none"/>
        </w:rPr>
      </w:pPr>
      <w:r>
        <w:rPr>
          <w:rFonts w:hint="eastAsia" w:ascii="宋体" w:hAnsi="宋体"/>
          <w:b/>
          <w:color w:val="auto"/>
          <w:sz w:val="24"/>
          <w:highlight w:val="none"/>
          <w:lang w:val="en-US" w:eastAsia="zh-CN"/>
        </w:rPr>
        <w:t>二、</w:t>
      </w:r>
      <w:r>
        <w:rPr>
          <w:rFonts w:hint="eastAsia" w:ascii="宋体" w:hAnsi="宋体"/>
          <w:b/>
          <w:color w:val="auto"/>
          <w:sz w:val="24"/>
          <w:highlight w:val="none"/>
        </w:rPr>
        <w:t>技术及质量要求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color w:val="auto"/>
          <w:sz w:val="24"/>
          <w:highlight w:val="none"/>
          <w:lang w:val="en-US"/>
        </w:rPr>
      </w:pPr>
      <w:r>
        <w:rPr>
          <w:rFonts w:hint="eastAsia" w:ascii="宋体" w:hAnsi="宋体"/>
          <w:b w:val="0"/>
          <w:bCs/>
          <w:color w:val="auto"/>
          <w:sz w:val="24"/>
          <w:highlight w:val="none"/>
          <w:lang w:val="en-US" w:eastAsia="zh-CN"/>
        </w:rPr>
        <w:t>上床下桌家具技术参数</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1.床体</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1.1床体尺寸：2000mm</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900mm</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2170mm，尺寸±5mm。</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△1.2床柱：使用规格为厚50mm</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宽103mm的菱形管，材料厚度≥1.2mm，规格可以优于此标准。采用优质冷轧钢板经特制一次成型线轧制而成，其立面为中空异形，为防止生锈，管材内外进行镀锌处理。管材大圆角设计，R角半径为5mm，保证使用安全，持握手感舒适。</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△1.3床边：床铺长梁采用58mm△85mm△1.2mm优质冷轧钢板一次压制成型，规格可优于此标准，底部半径为20mm圆弧设计，避免磕头，钢管外侧设置增加承重强度工艺，两端采用插挂式连接结构，插挂稳固结实。</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拉杆：使用规格为厚37mm△宽83mm的菱形管，壁厚≥1.2mm，规格可优于此标准。采用左、右、后面三面拉杆，拉杆高度810mm，拉杆采用优质冷轧钢板经特制一次成型线轧制而成，其立面为中空异形八角管，为防止生锈，管材内外进行镀锌处理。管材大圆角设计，R角半径为5mm，保证使用安全，持握手感舒适。</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床头床档：床档采用插入式三根床档结构，上面第一根采用32mm△32mm、壁厚≥1.2mm的八角管，其余两根为25mm△25mm、壁厚≥1.2mm的六角管，可优于此标准。采用优质冷轧钢板经特制一次成型线轧制而成，其立面为中空异形，为防止生锈，管材内外进行镀锌处理。管材大圆角设计，R角半径为5mm，保证使用安全，持握手感舒适。</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护栏：护栏采用规格为25mm△25mm△1.2mm的六角管，可以优于此标准。使用优质冷轧钢板经特制一次成型线轧制而成，其立面为中空异形，为防止生锈，管材内外进行镀锌处理。管材大圆角设计，R角半径为5mm，保证使用安全，持握手感舒适。上部采用三根六角管，底部嵌冲孔透气网板，钢板厚度≥0.8mm，护栏总高350mm，护栏总长度不低于1600mm。</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1.7床板及支撑横梁：床板外框采用规格为20mm△20mm、壁厚≥1.2mm的方管，横梁采用规格为25mm△25mm、壁厚≥1.2mm的六角管6根，均匀与外框连接后和床边稳固结合，可优于此标准。网状床板可用钢网或钢管制作，要求稳固不移动，承重性能好，无异响。                                                                   </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梯：梯子支撑主体使用规格为25mm△25mm、壁厚≥1.2mm的方管制作。步梯外径550mm，踏板深度215mm。采用优质冷轧钢板经特制一次成型线轧制而成，踏板其立面为圆形。防滑脚踏板采用凸起纹理，增加摩擦系数，踏板托盘2.0mm加固钢制托盘。</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1.9床腿地脚：采用一次成型PP吹塑材质，内嵌式或外置均可，与床腿配套。 </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1.10结构连接：床体连接部份采用挂件连接，每张床可承重≥400kg 。</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△1.11卡式连接挂件：经冲床冲压成L型，设有连接卡口，成型后尺寸≥220△30△2mm，材料厚度≥2.0mm。</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1.12金属焊接要求：所有焊接部位均采用二氧化碳气体保护焊，焊接后打磨平、除刺及抛光，焊接金属表面必须除油、去锈。</w:t>
      </w:r>
    </w:p>
    <w:p>
      <w:pPr>
        <w:keepNext w:val="0"/>
        <w:keepLines w:val="0"/>
        <w:pageBreakBefore w:val="0"/>
        <w:kinsoku/>
        <w:wordWrap/>
        <w:overflowPunct/>
        <w:topLinePunct w:val="0"/>
        <w:autoSpaceDE/>
        <w:autoSpaceDN/>
        <w:bidi w:val="0"/>
        <w:adjustRightInd/>
        <w:snapToGrid/>
        <w:spacing w:line="360" w:lineRule="auto"/>
        <w:ind w:left="0" w:firstLine="525"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4"/>
          <w:highlight w:val="none"/>
        </w:rPr>
        <w:t>#</w:t>
      </w:r>
      <w:r>
        <w:rPr>
          <w:rFonts w:hint="eastAsia" w:ascii="宋体" w:hAnsi="宋体" w:eastAsia="宋体" w:cs="宋体"/>
          <w:color w:val="auto"/>
          <w:sz w:val="24"/>
          <w:szCs w:val="24"/>
          <w:highlight w:val="none"/>
          <w:lang w:val="en-US" w:eastAsia="zh-CN"/>
        </w:rPr>
        <w:t xml:space="preserve">1.13金属喷塑要求：采用优质环保产品环氧聚脂塑粉，经纳米磷化后静电喷塑，喷塑涂层厚度70~80μm，喷塑外膜的表面光滑平整。符合GB/T3325-2017、GB18584-2001标准检测，可溶性重金属含量（镉≤3mg/kg、铬≤2mg/kg、铅≤4mg/kg、汞未检出）达标；硬度≥H，冲击强度、附着力、耐腐蚀等均符合要求。 </w:t>
      </w:r>
    </w:p>
    <w:p>
      <w:pPr>
        <w:keepNext w:val="0"/>
        <w:keepLines w:val="0"/>
        <w:pageBreakBefore w:val="0"/>
        <w:kinsoku/>
        <w:wordWrap/>
        <w:overflowPunct/>
        <w:topLinePunct w:val="0"/>
        <w:autoSpaceDE/>
        <w:autoSpaceDN/>
        <w:bidi w:val="0"/>
        <w:adjustRightInd/>
        <w:snapToGrid/>
        <w:spacing w:line="360" w:lineRule="auto"/>
        <w:ind w:left="0" w:firstLine="525"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4"/>
          <w:highlight w:val="none"/>
        </w:rPr>
        <w:t>#</w:t>
      </w:r>
      <w:r>
        <w:rPr>
          <w:rFonts w:hint="eastAsia" w:ascii="宋体" w:hAnsi="宋体" w:eastAsia="宋体" w:cs="宋体"/>
          <w:color w:val="auto"/>
          <w:sz w:val="24"/>
          <w:szCs w:val="24"/>
          <w:highlight w:val="none"/>
          <w:lang w:val="en-US" w:eastAsia="zh-CN"/>
        </w:rPr>
        <w:t>1.14公寓床（环保性能）：符合GB/T35607-2017《绿色产品评价家具》检测标准，甲醛释放量≤0.02mg/m3、苯未检出、甲苯未检出、二甲苯未检出、总挥发性有机化合物(TVOC) 未检出、家具涂层可迁移元素（铅≤2mg/kg、镉≤1mg/kg、铬≤3mg/kg、汞≤0.1mg/kg、锑≤20mg/kg、钡≤3mg/kg、硒≤5mg/kg、砷≤10mg/kg）。</w:t>
      </w:r>
    </w:p>
    <w:p>
      <w:pPr>
        <w:keepNext w:val="0"/>
        <w:keepLines w:val="0"/>
        <w:pageBreakBefore w:val="0"/>
        <w:kinsoku/>
        <w:wordWrap/>
        <w:overflowPunct/>
        <w:topLinePunct w:val="0"/>
        <w:autoSpaceDE/>
        <w:autoSpaceDN/>
        <w:bidi w:val="0"/>
        <w:adjustRightInd/>
        <w:snapToGrid/>
        <w:spacing w:line="360" w:lineRule="auto"/>
        <w:ind w:left="0" w:firstLine="525"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4"/>
          <w:highlight w:val="none"/>
        </w:rPr>
        <w:t>#</w:t>
      </w:r>
      <w:r>
        <w:rPr>
          <w:rFonts w:hint="eastAsia" w:ascii="宋体" w:hAnsi="宋体" w:eastAsia="宋体" w:cs="宋体"/>
          <w:color w:val="auto"/>
          <w:sz w:val="24"/>
          <w:szCs w:val="24"/>
          <w:highlight w:val="none"/>
          <w:lang w:val="en-US" w:eastAsia="zh-CN"/>
        </w:rPr>
        <w:t>1.15公寓床（综合性能）：符合QB/T2741-2013、GB18584-2001、GB/T15102-2017检测标准，主要尺寸及偏差、形状和位置公差、外观、木制件表面理化性能、金属件表面涂层理化性能(冲击强度、附着力、耐湿热、耐腐蚀均符合要求)、安装、产品部件/人造板材质理化性能、力学性能（桌类、柜类、床类、扶梯、安全拦均符合要求）。</w:t>
      </w:r>
    </w:p>
    <w:p>
      <w:pPr>
        <w:keepNext w:val="0"/>
        <w:keepLines w:val="0"/>
        <w:pageBreakBefore w:val="0"/>
        <w:kinsoku/>
        <w:wordWrap/>
        <w:overflowPunct/>
        <w:topLinePunct w:val="0"/>
        <w:autoSpaceDE/>
        <w:autoSpaceDN/>
        <w:bidi w:val="0"/>
        <w:adjustRightInd/>
        <w:snapToGrid/>
        <w:spacing w:line="360" w:lineRule="auto"/>
        <w:ind w:left="0" w:firstLine="525"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4"/>
          <w:highlight w:val="none"/>
        </w:rPr>
        <w:t>#</w:t>
      </w:r>
      <w:r>
        <w:rPr>
          <w:rFonts w:hint="eastAsia" w:ascii="宋体" w:hAnsi="宋体" w:eastAsia="宋体" w:cs="宋体"/>
          <w:color w:val="auto"/>
          <w:sz w:val="24"/>
          <w:szCs w:val="24"/>
          <w:highlight w:val="none"/>
          <w:lang w:val="en-US" w:eastAsia="zh-CN"/>
        </w:rPr>
        <w:t>1.6主要部件床柱、床边、拉杆、梯子、卡式连接挂件：符合QB/T2741-2013、GB18584-2001检测标准，金属表面涂层理化性能（耐湿热、冲击强度、耐腐蚀性、漆膜附着力）、可溶性重金属（铅、汞、镉、铬）均符合要求。</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以上检测标准相关数据以省级及以上检测部门出具的检验报告为佐证。</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2、家具柜组</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2.1整体尺寸：1930mm</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600mm</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1730mm</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2.2钢柜</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2.2.1尺寸：800mm</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600mm</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1730mm</w:t>
      </w:r>
    </w:p>
    <w:p>
      <w:pPr>
        <w:keepNext w:val="0"/>
        <w:keepLines w:val="0"/>
        <w:pageBreakBefore w:val="0"/>
        <w:kinsoku/>
        <w:wordWrap/>
        <w:overflowPunct/>
        <w:topLinePunct w:val="0"/>
        <w:autoSpaceDE/>
        <w:autoSpaceDN/>
        <w:bidi w:val="0"/>
        <w:adjustRightInd/>
        <w:snapToGrid/>
        <w:spacing w:line="360" w:lineRule="auto"/>
        <w:ind w:left="0" w:firstLine="525" w:firstLineChars="250"/>
        <w:rPr>
          <w:rFonts w:hint="eastAsia" w:ascii="宋体" w:hAnsi="宋体" w:eastAsia="宋体" w:cs="宋体"/>
          <w:color w:val="auto"/>
          <w:sz w:val="24"/>
          <w:szCs w:val="24"/>
          <w:highlight w:val="none"/>
          <w:lang w:val="en-US" w:eastAsia="zh-CN"/>
        </w:rPr>
      </w:pPr>
      <w:r>
        <w:rPr>
          <w:rFonts w:hint="eastAsia" w:ascii="宋体" w:hAnsi="宋体" w:cs="宋体"/>
          <w:color w:val="auto"/>
          <w:szCs w:val="24"/>
          <w:highlight w:val="none"/>
          <w:lang w:eastAsia="zh-CN"/>
        </w:rPr>
        <w:t>△</w:t>
      </w:r>
      <w:r>
        <w:rPr>
          <w:rFonts w:hint="eastAsia" w:ascii="宋体" w:hAnsi="宋体" w:eastAsia="宋体" w:cs="宋体"/>
          <w:color w:val="auto"/>
          <w:sz w:val="24"/>
          <w:szCs w:val="24"/>
          <w:highlight w:val="none"/>
          <w:lang w:val="en-US" w:eastAsia="zh-CN"/>
        </w:rPr>
        <w:t>2.2.2材质：采用优质不低于0.8mm冷轧钢板，经剪切，冲压，折弯，焊接，装配而成。</w:t>
      </w:r>
    </w:p>
    <w:p>
      <w:pPr>
        <w:keepNext w:val="0"/>
        <w:keepLines w:val="0"/>
        <w:pageBreakBefore w:val="0"/>
        <w:kinsoku/>
        <w:wordWrap/>
        <w:overflowPunct/>
        <w:topLinePunct w:val="0"/>
        <w:autoSpaceDE/>
        <w:autoSpaceDN/>
        <w:bidi w:val="0"/>
        <w:adjustRightInd/>
        <w:snapToGrid/>
        <w:spacing w:line="360" w:lineRule="auto"/>
        <w:ind w:left="0" w:firstLine="525"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4"/>
          <w:highlight w:val="none"/>
        </w:rPr>
        <w:t>#</w:t>
      </w:r>
      <w:r>
        <w:rPr>
          <w:rFonts w:hint="eastAsia" w:ascii="宋体" w:hAnsi="宋体" w:eastAsia="宋体" w:cs="宋体"/>
          <w:color w:val="auto"/>
          <w:sz w:val="24"/>
          <w:szCs w:val="24"/>
          <w:highlight w:val="none"/>
          <w:lang w:val="en-US" w:eastAsia="zh-CN"/>
        </w:rPr>
        <w:t>2.2.3锁具及铰链：铰链符合QB/T2189-2013标准，下沉量≤1.5mm，耐久性符合4万次要求，加装挂锁扣。</w:t>
      </w:r>
    </w:p>
    <w:p>
      <w:pPr>
        <w:keepNext w:val="0"/>
        <w:keepLines w:val="0"/>
        <w:pageBreakBefore w:val="0"/>
        <w:kinsoku/>
        <w:wordWrap/>
        <w:overflowPunct/>
        <w:topLinePunct w:val="0"/>
        <w:autoSpaceDE/>
        <w:autoSpaceDN/>
        <w:bidi w:val="0"/>
        <w:adjustRightInd/>
        <w:snapToGrid/>
        <w:spacing w:line="360" w:lineRule="auto"/>
        <w:ind w:left="0" w:firstLine="525" w:firstLineChars="250"/>
        <w:rPr>
          <w:rFonts w:hint="eastAsia" w:ascii="宋体" w:hAnsi="宋体" w:eastAsia="宋体" w:cs="宋体"/>
          <w:color w:val="auto"/>
          <w:sz w:val="24"/>
          <w:szCs w:val="24"/>
          <w:highlight w:val="none"/>
          <w:lang w:val="en-US" w:eastAsia="zh-CN"/>
        </w:rPr>
      </w:pPr>
      <w:r>
        <w:rPr>
          <w:rFonts w:hint="eastAsia" w:ascii="宋体" w:hAnsi="宋体" w:cs="宋体"/>
          <w:color w:val="auto"/>
          <w:szCs w:val="24"/>
          <w:highlight w:val="none"/>
          <w:lang w:eastAsia="zh-CN"/>
        </w:rPr>
        <w:t>△</w:t>
      </w:r>
      <w:r>
        <w:rPr>
          <w:rFonts w:hint="eastAsia" w:ascii="宋体" w:hAnsi="宋体" w:eastAsia="宋体" w:cs="宋体"/>
          <w:color w:val="auto"/>
          <w:sz w:val="24"/>
          <w:szCs w:val="24"/>
          <w:highlight w:val="none"/>
          <w:lang w:val="en-US" w:eastAsia="zh-CN"/>
        </w:rPr>
        <w:t>2.2.4结构：通体双开门，设通风孔，门内设半身镜，金属挂衣杆；内设搁板一块，搁板长边三折弯处理门内结构，下有加强筋，柜门采用门筋一体制作，表面木纹转印处理。带调节脚，柜体立面5mm圆薄边外观设计，一次成型结构，稳固性能好。</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2.3钢木学习桌</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2.3.1桌面长度：1130mm，L型，宽度根据床内径设计</w:t>
      </w:r>
    </w:p>
    <w:p>
      <w:pPr>
        <w:keepNext w:val="0"/>
        <w:keepLines w:val="0"/>
        <w:pageBreakBefore w:val="0"/>
        <w:kinsoku/>
        <w:wordWrap/>
        <w:overflowPunct/>
        <w:topLinePunct w:val="0"/>
        <w:autoSpaceDE/>
        <w:autoSpaceDN/>
        <w:bidi w:val="0"/>
        <w:adjustRightInd/>
        <w:snapToGrid/>
        <w:spacing w:line="360" w:lineRule="auto"/>
        <w:ind w:left="0" w:firstLine="525"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4"/>
          <w:highlight w:val="none"/>
        </w:rPr>
        <w:t>#</w:t>
      </w:r>
      <w:r>
        <w:rPr>
          <w:rFonts w:hint="eastAsia" w:ascii="宋体" w:hAnsi="宋体" w:eastAsia="宋体" w:cs="宋体"/>
          <w:color w:val="auto"/>
          <w:sz w:val="24"/>
          <w:szCs w:val="24"/>
          <w:highlight w:val="none"/>
          <w:lang w:val="en-US" w:eastAsia="zh-CN"/>
        </w:rPr>
        <w:t>2.3.2桌面材料：采用E1级25mm优质环保板材双饰面刨花板，符合GB/T15102-2017、GB18580-2017标准，甲醛释放量≤0.03mg/m3，吸水厚度膨胀率≤3%、静曲强度≥15MPa、弹性模量≥2300MPa、内结合强度≥0.4MPa、密度0.7g-0.9g/cm3、握螺钉力板面≥1200N、板边≥800N、表面胶合强度≥0.7MPa均符合要求。</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2.3.3封边条：采用2mm厚PVC优质环保材料封边。</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2.3.4锁具：加装挂锁扣。</w:t>
      </w:r>
    </w:p>
    <w:p>
      <w:pPr>
        <w:keepNext w:val="0"/>
        <w:keepLines w:val="0"/>
        <w:pageBreakBefore w:val="0"/>
        <w:kinsoku/>
        <w:wordWrap/>
        <w:overflowPunct/>
        <w:topLinePunct w:val="0"/>
        <w:autoSpaceDE/>
        <w:autoSpaceDN/>
        <w:bidi w:val="0"/>
        <w:adjustRightInd/>
        <w:snapToGrid/>
        <w:spacing w:line="360" w:lineRule="auto"/>
        <w:ind w:left="0" w:firstLine="525" w:firstLineChars="250"/>
        <w:rPr>
          <w:rFonts w:hint="eastAsia" w:ascii="宋体" w:hAnsi="宋体" w:eastAsia="宋体" w:cs="宋体"/>
          <w:color w:val="auto"/>
          <w:sz w:val="24"/>
          <w:szCs w:val="24"/>
          <w:highlight w:val="none"/>
          <w:lang w:val="en-US" w:eastAsia="zh-CN"/>
        </w:rPr>
      </w:pPr>
      <w:r>
        <w:rPr>
          <w:rFonts w:hint="eastAsia" w:ascii="宋体" w:hAnsi="宋体" w:cs="宋体"/>
          <w:color w:val="auto"/>
          <w:szCs w:val="24"/>
          <w:highlight w:val="none"/>
          <w:lang w:eastAsia="zh-CN"/>
        </w:rPr>
        <w:t>△</w:t>
      </w:r>
      <w:r>
        <w:rPr>
          <w:rFonts w:hint="eastAsia" w:ascii="宋体" w:hAnsi="宋体" w:eastAsia="宋体" w:cs="宋体"/>
          <w:color w:val="auto"/>
          <w:sz w:val="24"/>
          <w:szCs w:val="24"/>
          <w:highlight w:val="none"/>
          <w:lang w:val="en-US" w:eastAsia="zh-CN"/>
        </w:rPr>
        <w:t>2.3.5桌上书架：采用优质不低于0.8mm冷轧钢板，经剪切，冲压，折弯，焊接，装配而成，立书架3层结构，横书架均分为2格，与桌面及柜体连接牢固，书架立面5mm圆薄边外观设计，一次成型结构，稳固性能好。</w:t>
      </w:r>
    </w:p>
    <w:p>
      <w:pPr>
        <w:keepNext w:val="0"/>
        <w:keepLines w:val="0"/>
        <w:pageBreakBefore w:val="0"/>
        <w:kinsoku/>
        <w:wordWrap/>
        <w:overflowPunct/>
        <w:topLinePunct w:val="0"/>
        <w:autoSpaceDE/>
        <w:autoSpaceDN/>
        <w:bidi w:val="0"/>
        <w:adjustRightInd/>
        <w:snapToGrid/>
        <w:spacing w:line="360" w:lineRule="auto"/>
        <w:ind w:left="0" w:firstLine="525" w:firstLineChars="250"/>
        <w:rPr>
          <w:rFonts w:hint="eastAsia" w:ascii="宋体" w:hAnsi="宋体" w:eastAsia="宋体" w:cs="宋体"/>
          <w:color w:val="auto"/>
          <w:sz w:val="24"/>
          <w:szCs w:val="24"/>
          <w:highlight w:val="none"/>
          <w:lang w:val="en-US" w:eastAsia="zh-CN"/>
        </w:rPr>
      </w:pPr>
      <w:r>
        <w:rPr>
          <w:rFonts w:hint="eastAsia" w:ascii="宋体" w:hAnsi="宋体" w:cs="宋体"/>
          <w:color w:val="auto"/>
          <w:szCs w:val="24"/>
          <w:highlight w:val="none"/>
          <w:lang w:eastAsia="zh-CN"/>
        </w:rPr>
        <w:t>△</w:t>
      </w:r>
      <w:r>
        <w:rPr>
          <w:rFonts w:hint="eastAsia" w:ascii="宋体" w:hAnsi="宋体" w:eastAsia="宋体" w:cs="宋体"/>
          <w:color w:val="auto"/>
          <w:sz w:val="24"/>
          <w:szCs w:val="24"/>
          <w:highlight w:val="none"/>
          <w:lang w:val="en-US" w:eastAsia="zh-CN"/>
        </w:rPr>
        <w:t>2.3.6桌下柜：采用优质不低于0.8mm冷轧钢板，经剪切，冲压，折弯，焊接，装配而成，采用上部抽屉下部鞋架结构，抽屉采用三节优质静音滑轨，下部为无柜门鞋架，均分为2层，柜体立面5mm圆薄边外观设计，一次成型结构，稳固性能好。</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2.4.结构：学习桌+桌上书架+桌下柜，学习桌采用L形。</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2.5工艺：全部金属表面经磷化、除污、除油、除锈等表面处理后；折角处圆滑，焊接内外无毛刺尖角，使各部位的结构更加合理、更加人性化、坚固耐用。</w:t>
      </w:r>
    </w:p>
    <w:p>
      <w:pPr>
        <w:keepNext w:val="0"/>
        <w:keepLines w:val="0"/>
        <w:pageBreakBefore w:val="0"/>
        <w:kinsoku/>
        <w:wordWrap/>
        <w:overflowPunct/>
        <w:topLinePunct w:val="0"/>
        <w:autoSpaceDE/>
        <w:autoSpaceDN/>
        <w:bidi w:val="0"/>
        <w:adjustRightInd/>
        <w:snapToGrid/>
        <w:spacing w:line="360" w:lineRule="auto"/>
        <w:ind w:left="0" w:firstLine="525"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4"/>
          <w:highlight w:val="none"/>
        </w:rPr>
        <w:t>#</w:t>
      </w:r>
      <w:r>
        <w:rPr>
          <w:rFonts w:hint="eastAsia" w:ascii="宋体" w:hAnsi="宋体" w:eastAsia="宋体" w:cs="宋体"/>
          <w:color w:val="auto"/>
          <w:sz w:val="24"/>
          <w:szCs w:val="24"/>
          <w:highlight w:val="none"/>
          <w:lang w:val="en-US" w:eastAsia="zh-CN"/>
        </w:rPr>
        <w:t>2.6金属喷塑要求：采用优质环保产品环氧聚脂塑粉，经纳米磷化后静电喷塑，喷塑涂层厚度70~80μm，喷塑外膜的表面光滑平整。符合GB/T3325-2017、GB18584-2001标准检测，可溶性重金属含量（镉≤3mg/kg、铬≤2mg/kg、铅≤4mg/kg、汞未检出）达标；硬度≥2H，冲击强度、附着力、耐腐蚀等均符合要求。</w:t>
      </w:r>
    </w:p>
    <w:p>
      <w:pPr>
        <w:keepNext w:val="0"/>
        <w:keepLines w:val="0"/>
        <w:pageBreakBefore w:val="0"/>
        <w:kinsoku/>
        <w:wordWrap/>
        <w:overflowPunct/>
        <w:topLinePunct w:val="0"/>
        <w:autoSpaceDE/>
        <w:autoSpaceDN/>
        <w:bidi w:val="0"/>
        <w:adjustRightInd/>
        <w:snapToGrid/>
        <w:spacing w:line="360" w:lineRule="auto"/>
        <w:ind w:left="0" w:firstLine="525"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4"/>
          <w:highlight w:val="none"/>
        </w:rPr>
        <w:t>#</w:t>
      </w:r>
      <w:r>
        <w:rPr>
          <w:rFonts w:hint="eastAsia" w:ascii="宋体" w:hAnsi="宋体" w:eastAsia="宋体" w:cs="宋体"/>
          <w:color w:val="auto"/>
          <w:sz w:val="24"/>
          <w:szCs w:val="24"/>
          <w:highlight w:val="none"/>
          <w:lang w:val="en-US" w:eastAsia="zh-CN"/>
        </w:rPr>
        <w:t>2.7钢制柜:符合GB/T13668-2015检测标准，外观要求、其他要求、形状和位置公差、表面涂层理化性能（附着力、硬度、耐腐蚀、冲击强度）、力学性能均符合要求。</w:t>
      </w:r>
    </w:p>
    <w:p>
      <w:pPr>
        <w:keepNext w:val="0"/>
        <w:keepLines w:val="0"/>
        <w:pageBreakBefore w:val="0"/>
        <w:kinsoku/>
        <w:wordWrap/>
        <w:overflowPunct/>
        <w:topLinePunct w:val="0"/>
        <w:autoSpaceDE/>
        <w:autoSpaceDN/>
        <w:bidi w:val="0"/>
        <w:adjustRightInd/>
        <w:snapToGrid/>
        <w:spacing w:line="360" w:lineRule="auto"/>
        <w:ind w:left="0" w:firstLine="525"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4"/>
          <w:highlight w:val="none"/>
        </w:rPr>
        <w:t>#</w:t>
      </w:r>
      <w:r>
        <w:rPr>
          <w:rFonts w:hint="eastAsia" w:ascii="宋体" w:hAnsi="宋体" w:eastAsia="宋体" w:cs="宋体"/>
          <w:color w:val="auto"/>
          <w:sz w:val="24"/>
          <w:szCs w:val="24"/>
          <w:highlight w:val="none"/>
          <w:lang w:val="en-US" w:eastAsia="zh-CN"/>
        </w:rPr>
        <w:t>2.8书架、钢木桌：符合GB/T3325-2017检测标准，可溶性重金属（镉未检出、铬≤2mg/kg、铅≤5mg/kg、汞未检出）；理化性能（硬度≥H、冲击强度、附着力、耐腐蚀等均符合要求）；力学性能符合要求。</w:t>
      </w:r>
    </w:p>
    <w:p>
      <w:pPr>
        <w:keepNext w:val="0"/>
        <w:keepLines w:val="0"/>
        <w:pageBreakBefore w:val="0"/>
        <w:kinsoku/>
        <w:wordWrap/>
        <w:overflowPunct/>
        <w:topLinePunct w:val="0"/>
        <w:autoSpaceDE/>
        <w:autoSpaceDN/>
        <w:bidi w:val="0"/>
        <w:adjustRightInd/>
        <w:snapToGrid/>
        <w:spacing w:line="360" w:lineRule="auto"/>
        <w:ind w:lef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以上检测标准相关数据以省级及以上检测部门出具的检验报告为佐证。</w:t>
      </w:r>
    </w:p>
    <w:p>
      <w:pPr>
        <w:pStyle w:val="17"/>
        <w:keepNext w:val="0"/>
        <w:keepLines w:val="0"/>
        <w:pageBreakBefore w:val="0"/>
        <w:numPr>
          <w:ilvl w:val="0"/>
          <w:numId w:val="0"/>
        </w:numPr>
        <w:kinsoku/>
        <w:wordWrap/>
        <w:overflowPunct/>
        <w:topLinePunct w:val="0"/>
        <w:autoSpaceDE/>
        <w:autoSpaceDN/>
        <w:bidi w:val="0"/>
        <w:adjustRightInd/>
        <w:snapToGrid/>
        <w:spacing w:line="360" w:lineRule="auto"/>
        <w:ind w:leftChars="-250"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供货及安装周期</w:t>
      </w:r>
    </w:p>
    <w:p>
      <w:pPr>
        <w:pStyle w:val="2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自签定合同之日起至2021年09月02日完成供货及安装。逾期交货的，每逾期一天将处以合同总价的百分之五的罚金。超过6天，</w:t>
      </w:r>
      <w:r>
        <w:rPr>
          <w:rFonts w:hint="eastAsia" w:ascii="宋体" w:hAnsi="宋体" w:eastAsia="宋体" w:cs="宋体"/>
          <w:b w:val="0"/>
          <w:bCs/>
          <w:color w:val="auto"/>
          <w:sz w:val="24"/>
          <w:szCs w:val="24"/>
          <w:highlight w:val="none"/>
          <w:lang w:val="en-US" w:eastAsia="zh-CN"/>
        </w:rPr>
        <w:t>投标人按合同金额的30%向招标人支付违约金，并赔偿由此造成的损失费用，招标人有权解除合同并另行招标采购。</w:t>
      </w:r>
    </w:p>
    <w:p>
      <w:pPr>
        <w:pStyle w:val="2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中标人货物进场时，招标人取样委托专业机构进行检测，如不能达到招投标文件要求，将对投标人处罚合同金额30%，并索赔由此造成的损失费用，责成投标人重新提供满足招投标文件要求的货物，或解除合同，招标人另行招标采购。</w:t>
      </w:r>
    </w:p>
    <w:p>
      <w:pPr>
        <w:pStyle w:val="2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若有家具不具备安装条件需延后安装的，工期顺延，中标人应无条件配合招标人的安装工期要求，并不收取费用。</w:t>
      </w:r>
    </w:p>
    <w:p>
      <w:pPr>
        <w:pStyle w:val="17"/>
        <w:keepNext w:val="0"/>
        <w:keepLines w:val="0"/>
        <w:pageBreakBefore w:val="0"/>
        <w:numPr>
          <w:ilvl w:val="0"/>
          <w:numId w:val="0"/>
        </w:numPr>
        <w:kinsoku/>
        <w:wordWrap/>
        <w:overflowPunct/>
        <w:topLinePunct w:val="0"/>
        <w:autoSpaceDE/>
        <w:autoSpaceDN/>
        <w:bidi w:val="0"/>
        <w:adjustRightInd/>
        <w:snapToGrid/>
        <w:spacing w:line="360" w:lineRule="auto"/>
        <w:ind w:leftChars="-250"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质保要求：</w:t>
      </w:r>
    </w:p>
    <w:p>
      <w:pPr>
        <w:pStyle w:val="2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保修范围：在正常使用条件下，造成的产品质量问题，均属乙方保修范围。</w:t>
      </w:r>
    </w:p>
    <w:p>
      <w:pPr>
        <w:pStyle w:val="2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保修期限：自产品到货、招标人组织安装完毕、验收合格之日起五年质保期。</w:t>
      </w:r>
    </w:p>
    <w:p>
      <w:pPr>
        <w:adjustRightInd w:val="0"/>
        <w:snapToGrid w:val="0"/>
        <w:spacing w:line="360" w:lineRule="auto"/>
        <w:ind w:firstLine="542" w:firstLineChars="225"/>
        <w:rPr>
          <w:rFonts w:ascii="宋体" w:hAnsi="宋体"/>
          <w:b/>
          <w:color w:val="auto"/>
          <w:sz w:val="24"/>
          <w:highlight w:val="none"/>
        </w:rPr>
      </w:pPr>
      <w:r>
        <w:rPr>
          <w:rFonts w:hint="eastAsia" w:ascii="宋体" w:hAnsi="宋体"/>
          <w:b/>
          <w:color w:val="auto"/>
          <w:sz w:val="24"/>
          <w:highlight w:val="none"/>
        </w:rPr>
        <w:t>提醒注意：</w:t>
      </w:r>
    </w:p>
    <w:p>
      <w:pPr>
        <w:adjustRightInd w:val="0"/>
        <w:snapToGrid w:val="0"/>
        <w:spacing w:line="360" w:lineRule="auto"/>
        <w:ind w:left="478" w:leftChars="56" w:hanging="360" w:hangingChars="150"/>
        <w:rPr>
          <w:rFonts w:hint="eastAsia" w:ascii="宋体" w:hAnsi="宋体" w:eastAsia="宋体" w:cs="宋体"/>
          <w:b/>
          <w:color w:val="auto"/>
          <w:kern w:val="0"/>
          <w:sz w:val="24"/>
          <w:highlight w:val="none"/>
          <w:lang w:eastAsia="zh-CN"/>
        </w:rPr>
      </w:pPr>
      <w:r>
        <w:rPr>
          <w:rFonts w:hint="eastAsia" w:ascii="宋体" w:hAnsi="宋体"/>
          <w:color w:val="auto"/>
          <w:sz w:val="24"/>
          <w:highlight w:val="none"/>
        </w:rPr>
        <w:t>★</w:t>
      </w:r>
      <w:r>
        <w:rPr>
          <w:rFonts w:hint="eastAsia" w:ascii="宋体" w:hAnsi="宋体"/>
          <w:b/>
          <w:color w:val="auto"/>
          <w:sz w:val="24"/>
          <w:highlight w:val="none"/>
        </w:rPr>
        <w:t>1、</w:t>
      </w:r>
      <w:r>
        <w:rPr>
          <w:rFonts w:hint="eastAsia" w:ascii="宋体" w:hAnsi="宋体"/>
          <w:b/>
          <w:bCs/>
          <w:color w:val="auto"/>
          <w:sz w:val="24"/>
          <w:highlight w:val="none"/>
        </w:rPr>
        <w:t>以上采购需求不指向任何一种品牌或供应商</w:t>
      </w:r>
      <w:r>
        <w:rPr>
          <w:rFonts w:hint="eastAsia" w:ascii="宋体" w:hAnsi="宋体"/>
          <w:b/>
          <w:bCs/>
          <w:color w:val="auto"/>
          <w:sz w:val="24"/>
          <w:highlight w:val="none"/>
          <w:lang w:eastAsia="zh-CN"/>
        </w:rPr>
        <w:t>。</w:t>
      </w:r>
    </w:p>
    <w:p>
      <w:pPr>
        <w:spacing w:line="360" w:lineRule="auto"/>
        <w:ind w:left="480" w:leftChars="57" w:hanging="360" w:hangingChars="150"/>
        <w:rPr>
          <w:rFonts w:ascii="宋体" w:hAnsi="宋体" w:cs="宋体"/>
          <w:color w:val="auto"/>
          <w:kern w:val="0"/>
          <w:sz w:val="24"/>
          <w:highlight w:val="none"/>
        </w:rPr>
      </w:pPr>
      <w:r>
        <w:rPr>
          <w:rFonts w:hint="eastAsia" w:ascii="宋体" w:hAnsi="宋体"/>
          <w:color w:val="auto"/>
          <w:sz w:val="24"/>
          <w:highlight w:val="none"/>
        </w:rPr>
        <w:t>2、供应商应按己方所投标货物的实际技术参数填写，如经评标委员会发现未</w:t>
      </w:r>
      <w:r>
        <w:rPr>
          <w:rFonts w:hint="eastAsia" w:ascii="宋体" w:hAnsi="宋体"/>
          <w:bCs/>
          <w:color w:val="auto"/>
          <w:sz w:val="24"/>
          <w:highlight w:val="none"/>
        </w:rPr>
        <w:t>按所投产品品牌的实际技术参数进行应答，而是完全复制招标文件的技术参数，与所投品牌的实际技术参数不符的，</w:t>
      </w:r>
      <w:r>
        <w:rPr>
          <w:rFonts w:hint="eastAsia" w:ascii="宋体" w:hAnsi="宋体"/>
          <w:b/>
          <w:color w:val="auto"/>
          <w:sz w:val="24"/>
          <w:highlight w:val="none"/>
        </w:rPr>
        <w:t>按投标无效处理</w:t>
      </w:r>
      <w:r>
        <w:rPr>
          <w:rFonts w:hint="eastAsia" w:ascii="宋体" w:hAnsi="宋体"/>
          <w:bCs/>
          <w:color w:val="auto"/>
          <w:sz w:val="24"/>
          <w:highlight w:val="none"/>
        </w:rPr>
        <w:t>。</w:t>
      </w:r>
      <w:r>
        <w:rPr>
          <w:rFonts w:hint="eastAsia" w:ascii="宋体" w:hAnsi="宋体"/>
          <w:color w:val="auto"/>
          <w:sz w:val="24"/>
          <w:highlight w:val="none"/>
        </w:rPr>
        <w:t>技术偏离表中</w:t>
      </w:r>
      <w:r>
        <w:rPr>
          <w:rFonts w:hint="eastAsia" w:ascii="宋体" w:hAnsi="宋体" w:cs="宋体"/>
          <w:color w:val="auto"/>
          <w:kern w:val="0"/>
          <w:sz w:val="24"/>
          <w:highlight w:val="none"/>
        </w:rPr>
        <w:t>“投标文件响应情况”应如实填写，并与“招标文件技术要求”一一对应，如响应技术条款优于招标文件要求，填写“正偏离”，如简单填写“响应”或“完全响应”投标无效。</w:t>
      </w:r>
    </w:p>
    <w:p>
      <w:pPr>
        <w:spacing w:line="360" w:lineRule="auto"/>
        <w:ind w:left="480" w:leftChars="57" w:hanging="360" w:hangingChars="150"/>
        <w:rPr>
          <w:rFonts w:ascii="宋体" w:hAnsi="宋体"/>
          <w:color w:val="auto"/>
          <w:sz w:val="24"/>
          <w:highlight w:val="none"/>
        </w:rPr>
      </w:pPr>
      <w:r>
        <w:rPr>
          <w:rFonts w:hint="eastAsia" w:ascii="宋体" w:hAnsi="宋体"/>
          <w:color w:val="auto"/>
          <w:sz w:val="24"/>
          <w:highlight w:val="none"/>
        </w:rPr>
        <w:t>3、供应商应注意采购文件的采购需求中指出的工艺、材料、软件和设备的参照品牌或型号仅起说明作用，并没有任何限制性。供应商在采购活动中可以选用替代标准、品牌或型号，但这些替代要实质上满足或优于采购文件的要求。</w:t>
      </w:r>
    </w:p>
    <w:p>
      <w:pPr>
        <w:spacing w:line="360" w:lineRule="auto"/>
        <w:ind w:left="480" w:leftChars="57" w:hanging="360" w:hangingChars="15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根据</w:t>
      </w:r>
      <w:r>
        <w:rPr>
          <w:rFonts w:hint="eastAsia" w:ascii="宋体" w:hAnsi="宋体"/>
          <w:color w:val="auto"/>
          <w:sz w:val="24"/>
          <w:highlight w:val="none"/>
        </w:rPr>
        <w:t>《</w:t>
      </w:r>
      <w:r>
        <w:rPr>
          <w:rFonts w:hint="eastAsia" w:ascii="宋体" w:hAnsi="宋体"/>
          <w:bCs/>
          <w:color w:val="auto"/>
          <w:sz w:val="24"/>
          <w:highlight w:val="none"/>
        </w:rPr>
        <w:t>财政部 发展改革委 生态环境部 市场监管总局 关于调整优化节能产品、环境标志产品政府采购执行机制的通知</w:t>
      </w:r>
      <w:r>
        <w:rPr>
          <w:rFonts w:hint="eastAsia" w:ascii="宋体" w:hAnsi="宋体"/>
          <w:color w:val="auto"/>
          <w:sz w:val="24"/>
          <w:highlight w:val="none"/>
        </w:rPr>
        <w:t>》（财库〔2019〕9号）、《市场监管总局关于发布参与实施政府采购节能产品、环境标志产品认证机构名录的公告》（2019年第16号）等</w:t>
      </w:r>
      <w:r>
        <w:rPr>
          <w:rFonts w:ascii="宋体" w:hAnsi="宋体"/>
          <w:color w:val="auto"/>
          <w:sz w:val="24"/>
          <w:highlight w:val="none"/>
        </w:rPr>
        <w:t>文件</w:t>
      </w:r>
      <w:r>
        <w:rPr>
          <w:rFonts w:hint="eastAsia" w:ascii="宋体" w:hAnsi="宋体"/>
          <w:color w:val="auto"/>
          <w:sz w:val="24"/>
          <w:highlight w:val="none"/>
        </w:rPr>
        <w:t>的相关</w:t>
      </w:r>
      <w:r>
        <w:rPr>
          <w:rFonts w:ascii="宋体" w:hAnsi="宋体"/>
          <w:color w:val="auto"/>
          <w:sz w:val="24"/>
          <w:highlight w:val="none"/>
        </w:rPr>
        <w:t>规定</w:t>
      </w:r>
      <w:r>
        <w:rPr>
          <w:rFonts w:hint="eastAsia" w:ascii="宋体" w:hAnsi="宋体"/>
          <w:color w:val="auto"/>
          <w:sz w:val="24"/>
          <w:highlight w:val="none"/>
        </w:rPr>
        <w:t>，供应商所投产品属于符合上述条件的认证机构认证的产品（以下简称“经认证产品”）且产品型号须完全一致，响应文件中须附符合上述文件规定的认证证书，并在响应文件目录中予以标明，目录未标明的视为未提供。</w:t>
      </w:r>
    </w:p>
    <w:p>
      <w:pPr>
        <w:spacing w:line="360" w:lineRule="auto"/>
        <w:ind w:left="480" w:leftChars="57" w:hanging="360" w:hangingChars="150"/>
        <w:rPr>
          <w:rFonts w:ascii="宋体" w:hAnsi="宋体"/>
          <w:color w:val="auto"/>
          <w:sz w:val="24"/>
          <w:highlight w:val="none"/>
        </w:rPr>
      </w:pPr>
      <w:r>
        <w:rPr>
          <w:rFonts w:hint="eastAsia" w:ascii="宋体" w:hAnsi="宋体"/>
          <w:color w:val="auto"/>
          <w:sz w:val="24"/>
          <w:highlight w:val="none"/>
        </w:rPr>
        <w:t>★5、采购人所采购的产品属于国家有关安全、节能、环保等强制性标准时，供应商所投产品必须同时满足强制标准和本项目采购要求，且须在响应文件中按前款规定要求标明并提供认证证书。</w:t>
      </w:r>
    </w:p>
    <w:p>
      <w:pPr>
        <w:spacing w:line="360" w:lineRule="auto"/>
        <w:ind w:left="480" w:leftChars="57" w:hanging="360" w:hangingChars="150"/>
        <w:rPr>
          <w:rFonts w:ascii="宋体" w:hAnsi="宋体"/>
          <w:color w:val="auto"/>
          <w:sz w:val="24"/>
          <w:highlight w:val="none"/>
        </w:rPr>
      </w:pPr>
      <w:r>
        <w:rPr>
          <w:rFonts w:hint="eastAsia" w:ascii="宋体" w:hAnsi="宋体"/>
          <w:color w:val="auto"/>
          <w:sz w:val="24"/>
          <w:highlight w:val="none"/>
        </w:rPr>
        <w:t>★6、信息安全产品，需提供由中国信息安全认证中心按国家标准认证颁发的有效认证证书，应符合《关于信息安全产品实施政府采购的通知》（财库【2010】48号）要求。</w:t>
      </w:r>
    </w:p>
    <w:p>
      <w:pPr>
        <w:bidi w:val="0"/>
        <w:jc w:val="left"/>
        <w:rPr>
          <w:rFonts w:hint="eastAsia"/>
          <w:lang w:val="en-US" w:eastAsia="zh-CN"/>
        </w:rPr>
      </w:pPr>
      <w:r>
        <w:rPr>
          <w:rFonts w:hint="eastAsia" w:ascii="宋体" w:hAnsi="宋体"/>
          <w:color w:val="auto"/>
          <w:sz w:val="24"/>
          <w:highlight w:val="none"/>
        </w:rPr>
        <w:t>7、报价产品的各项技术指标不能低于国家强制性标准，否则</w:t>
      </w:r>
      <w:r>
        <w:rPr>
          <w:rFonts w:hint="eastAsia" w:ascii="宋体" w:hAnsi="宋体" w:cs="宋体"/>
          <w:color w:val="auto"/>
          <w:kern w:val="0"/>
          <w:sz w:val="24"/>
          <w:highlight w:val="none"/>
        </w:rPr>
        <w:t>投标无效</w:t>
      </w:r>
      <w:r>
        <w:rPr>
          <w:rFonts w:hint="eastAsia" w:ascii="宋体" w:hAnsi="宋体"/>
          <w:color w:val="auto"/>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C16BF"/>
    <w:multiLevelType w:val="multilevel"/>
    <w:tmpl w:val="D12C16BF"/>
    <w:lvl w:ilvl="0" w:tentative="0">
      <w:start w:val="1"/>
      <w:numFmt w:val="japaneseCounting"/>
      <w:lvlText w:val="（%1）"/>
      <w:lvlJc w:val="left"/>
      <w:pPr>
        <w:ind w:left="774" w:hanging="77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22"/>
    <w:multiLevelType w:val="multilevel"/>
    <w:tmpl w:val="00000022"/>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12EAF80B"/>
    <w:multiLevelType w:val="multilevel"/>
    <w:tmpl w:val="12EAF80B"/>
    <w:lvl w:ilvl="0" w:tentative="0">
      <w:start w:val="1"/>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decimal"/>
      <w:lvlText w:val="%3."/>
      <w:lvlJc w:val="right"/>
      <w:pPr>
        <w:ind w:left="0" w:firstLine="0"/>
      </w:pPr>
      <w:rPr>
        <w:rFonts w:hint="eastAsia"/>
      </w:rPr>
    </w:lvl>
    <w:lvl w:ilvl="3" w:tentative="0">
      <w:start w:val="1"/>
      <w:numFmt w:val="decimal"/>
      <w:lvlText w:val="1.%4."/>
      <w:lvlJc w:val="right"/>
      <w:pPr>
        <w:ind w:left="0" w:firstLine="0"/>
      </w:pPr>
      <w:rPr>
        <w:rFonts w:hint="eastAsia"/>
      </w:rPr>
    </w:lvl>
    <w:lvl w:ilvl="4" w:tentative="0">
      <w:start w:val="1"/>
      <w:numFmt w:val="decimal"/>
      <w:pStyle w:val="8"/>
      <w:suff w:val="nothing"/>
      <w:lvlText w:val="%5"/>
      <w:lvlJc w:val="left"/>
      <w:pPr>
        <w:tabs>
          <w:tab w:val="left" w:pos="0"/>
        </w:tabs>
        <w:ind w:left="0" w:firstLine="0"/>
      </w:pPr>
      <w:rPr>
        <w:rFonts w:hint="eastAsia" w:ascii="宋体" w:hAnsi="宋体" w:eastAsia="宋体" w:cs="宋体"/>
      </w:rPr>
    </w:lvl>
    <w:lvl w:ilvl="5" w:tentative="0">
      <w:start w:val="1"/>
      <w:numFmt w:val="decimal"/>
      <w:suff w:val="nothing"/>
      <w:lvlText w:val="%6"/>
      <w:lvlJc w:val="left"/>
      <w:pPr>
        <w:tabs>
          <w:tab w:val="left" w:pos="0"/>
        </w:tabs>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1DAAD0D"/>
    <w:multiLevelType w:val="multilevel"/>
    <w:tmpl w:val="31DAAD0D"/>
    <w:lvl w:ilvl="0" w:tentative="0">
      <w:start w:val="1"/>
      <w:numFmt w:val="japaneseCounting"/>
      <w:lvlText w:val="（%1）"/>
      <w:lvlJc w:val="left"/>
      <w:pPr>
        <w:ind w:left="774" w:hanging="77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74468B"/>
    <w:multiLevelType w:val="singleLevel"/>
    <w:tmpl w:val="7074468B"/>
    <w:lvl w:ilvl="0" w:tentative="0">
      <w:start w:val="3"/>
      <w:numFmt w:val="chineseCounting"/>
      <w:suff w:val="space"/>
      <w:lvlText w:val="第%1章"/>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C6F50"/>
    <w:rsid w:val="58EA35D3"/>
    <w:rsid w:val="5D4F6666"/>
    <w:rsid w:val="67190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240" w:after="240"/>
      <w:ind w:left="100" w:leftChars="100" w:right="100" w:rightChars="100"/>
      <w:jc w:val="center"/>
      <w:outlineLvl w:val="0"/>
    </w:pPr>
    <w:rPr>
      <w:rFonts w:eastAsia="黑体"/>
      <w:bCs/>
      <w:kern w:val="44"/>
      <w:sz w:val="44"/>
      <w:szCs w:val="44"/>
    </w:rPr>
  </w:style>
  <w:style w:type="paragraph" w:styleId="5">
    <w:name w:val="heading 2"/>
    <w:basedOn w:val="1"/>
    <w:next w:val="1"/>
    <w:qFormat/>
    <w:uiPriority w:val="9"/>
    <w:pPr>
      <w:keepNext/>
      <w:keepLines/>
      <w:outlineLvl w:val="1"/>
    </w:pPr>
    <w:rPr>
      <w:rFonts w:ascii="Arial" w:hAnsi="Arial" w:eastAsia="黑体"/>
      <w:bCs/>
      <w:sz w:val="28"/>
      <w:szCs w:val="32"/>
    </w:rPr>
  </w:style>
  <w:style w:type="paragraph" w:styleId="6">
    <w:name w:val="heading 3"/>
    <w:basedOn w:val="1"/>
    <w:next w:val="1"/>
    <w:qFormat/>
    <w:uiPriority w:val="0"/>
    <w:pPr>
      <w:tabs>
        <w:tab w:val="left" w:pos="851"/>
      </w:tabs>
      <w:autoSpaceDE w:val="0"/>
      <w:autoSpaceDN w:val="0"/>
      <w:adjustRightInd w:val="0"/>
      <w:snapToGrid w:val="0"/>
      <w:spacing w:line="360" w:lineRule="auto"/>
      <w:outlineLvl w:val="2"/>
    </w:pPr>
    <w:rPr>
      <w:rFonts w:ascii="宋体"/>
      <w:kern w:val="0"/>
      <w:szCs w:val="20"/>
    </w:rPr>
  </w:style>
  <w:style w:type="paragraph" w:styleId="7">
    <w:name w:val="heading 4"/>
    <w:basedOn w:val="1"/>
    <w:next w:val="1"/>
    <w:qFormat/>
    <w:uiPriority w:val="0"/>
    <w:pPr>
      <w:keepNext/>
      <w:keepLines/>
      <w:numPr>
        <w:ilvl w:val="3"/>
        <w:numId w:val="1"/>
      </w:numPr>
      <w:spacing w:before="280" w:after="290" w:line="372" w:lineRule="auto"/>
      <w:outlineLvl w:val="3"/>
    </w:pPr>
    <w:rPr>
      <w:rFonts w:ascii="Arial" w:hAnsi="Arial" w:eastAsia="黑体"/>
      <w:b/>
      <w:bCs/>
      <w:sz w:val="28"/>
      <w:szCs w:val="28"/>
    </w:rPr>
  </w:style>
  <w:style w:type="paragraph" w:styleId="8">
    <w:name w:val="heading 5"/>
    <w:basedOn w:val="9"/>
    <w:next w:val="10"/>
    <w:qFormat/>
    <w:uiPriority w:val="0"/>
    <w:pPr>
      <w:keepNext/>
      <w:keepLines/>
      <w:numPr>
        <w:ilvl w:val="4"/>
        <w:numId w:val="2"/>
      </w:numPr>
      <w:spacing w:before="280" w:after="290" w:line="372" w:lineRule="auto"/>
      <w:outlineLvl w:val="4"/>
    </w:pPr>
    <w:rPr>
      <w:rFonts w:ascii="Calibri" w:hAnsi="Calibri"/>
      <w:spacing w:val="0"/>
      <w:w w:val="100"/>
      <w:kern w:val="2"/>
      <w:sz w:val="28"/>
      <w:szCs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adjustRightInd w:val="0"/>
      <w:spacing w:line="360" w:lineRule="atLeast"/>
      <w:jc w:val="center"/>
      <w:textAlignment w:val="baseline"/>
    </w:pPr>
    <w:rPr>
      <w:kern w:val="0"/>
      <w:sz w:val="24"/>
      <w:szCs w:val="20"/>
    </w:rPr>
  </w:style>
  <w:style w:type="paragraph" w:customStyle="1" w:styleId="9">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styleId="10">
    <w:name w:val="Normal Indent"/>
    <w:basedOn w:val="1"/>
    <w:qFormat/>
    <w:uiPriority w:val="0"/>
    <w:pPr>
      <w:ind w:firstLine="420" w:firstLineChars="200"/>
    </w:p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6">
    <w:name w:val="page number"/>
    <w:basedOn w:val="15"/>
    <w:qFormat/>
    <w:uiPriority w:val="0"/>
  </w:style>
  <w:style w:type="paragraph" w:customStyle="1" w:styleId="17">
    <w:name w:val="列出段落1"/>
    <w:qFormat/>
    <w:uiPriority w:val="0"/>
    <w:pPr>
      <w:ind w:firstLine="420" w:firstLineChars="200"/>
      <w:jc w:val="center"/>
    </w:pPr>
    <w:rPr>
      <w:rFonts w:ascii="Calibri" w:hAnsi="Calibri" w:eastAsia="宋体" w:cs="Times New Roman"/>
      <w:szCs w:val="22"/>
      <w:lang w:val="en-US" w:eastAsia="zh-CN" w:bidi="ar-SA"/>
    </w:rPr>
  </w:style>
  <w:style w:type="paragraph" w:customStyle="1" w:styleId="18">
    <w:name w:val="_Style 1"/>
    <w:basedOn w:val="1"/>
    <w:qFormat/>
    <w:uiPriority w:val="1"/>
    <w:pPr>
      <w:ind w:firstLine="420" w:firstLineChars="200"/>
    </w:pPr>
  </w:style>
  <w:style w:type="paragraph" w:customStyle="1" w:styleId="19">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标准文本"/>
    <w:basedOn w:val="1"/>
    <w:qFormat/>
    <w:uiPriority w:val="0"/>
    <w:pPr>
      <w:spacing w:line="360" w:lineRule="auto"/>
      <w:ind w:firstLine="480" w:firstLineChars="200"/>
    </w:pPr>
    <w:rPr>
      <w:kern w:val="0"/>
      <w:sz w:val="24"/>
      <w:szCs w:val="20"/>
    </w:rPr>
  </w:style>
  <w:style w:type="paragraph" w:customStyle="1" w:styleId="21">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2021-01-05T05:50:00Z</dcterms:created>
  <dc:creator>Administrator.PC-20151222GRIG</dc:creator>
  <cp:lastModifiedBy>邱实</cp:lastModifiedBy>
  <dcterms:modified xsi:type="dcterms:W3CDTF">2021-07-23T08:18:28Z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96C52BE531E747E8A21D545A379F7099</vt:lpwstr>
  </property>
</Properties>
</file>