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ind w:left="220" w:leftChars="0" w:right="220"/>
        <w:rPr>
          <w:rFonts w:asciiTheme="minorEastAsia" w:hAnsiTheme="minorEastAsia" w:eastAsiaTheme="minorEastAsia"/>
        </w:rPr>
      </w:pPr>
      <w:bookmarkStart w:id="0" w:name="_Toc20473792"/>
      <w:r>
        <w:rPr>
          <w:rFonts w:hint="eastAsia" w:asciiTheme="minorEastAsia" w:hAnsiTheme="minorEastAsia" w:eastAsiaTheme="minorEastAsia"/>
        </w:rPr>
        <w:t>采购人需求</w:t>
      </w:r>
      <w:bookmarkEnd w:id="0"/>
    </w:p>
    <w:p>
      <w:pPr>
        <w:pStyle w:val="20"/>
        <w:spacing w:line="360" w:lineRule="auto"/>
        <w:rPr>
          <w:rFonts w:hint="eastAsia"/>
          <w:b w:val="0"/>
          <w:bCs/>
          <w:color w:val="auto"/>
          <w:highlight w:val="none"/>
        </w:rPr>
      </w:pP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  <w:lang w:val="sq-AL"/>
        </w:rPr>
      </w:pPr>
      <w:r>
        <w:rPr>
          <w:rFonts w:hint="eastAsia" w:asciiTheme="minorEastAsia" w:hAnsiTheme="minorEastAsia" w:eastAsiaTheme="minorEastAsia"/>
          <w:sz w:val="24"/>
          <w:szCs w:val="24"/>
          <w:lang w:val="sq-AL"/>
        </w:rPr>
        <w:t>一、招标数量：1套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  <w:lang w:val="sq-AL"/>
        </w:rPr>
      </w:pPr>
      <w:r>
        <w:rPr>
          <w:rFonts w:hint="eastAsia" w:asciiTheme="minorEastAsia" w:hAnsiTheme="minorEastAsia" w:eastAsiaTheme="minorEastAsia"/>
          <w:sz w:val="24"/>
          <w:szCs w:val="24"/>
          <w:lang w:val="sq-AL"/>
        </w:rPr>
        <w:t>二、技术参数及采购需求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1、项目概述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本项目中拟采用</w:t>
      </w:r>
      <w:r>
        <w:rPr>
          <w:rFonts w:hint="eastAsia" w:asciiTheme="minorEastAsia" w:hAnsiTheme="minorEastAsia" w:eastAsiaTheme="minorEastAsia"/>
          <w:sz w:val="24"/>
          <w:szCs w:val="24"/>
        </w:rPr>
        <w:t>微波原子氧源实现对低地球轨道原子氧环境的模拟</w:t>
      </w:r>
      <w:r>
        <w:rPr>
          <w:rFonts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</w:rPr>
        <w:t>用于实现大科学原子氧环境效应的科学研究</w:t>
      </w:r>
      <w:r>
        <w:rPr>
          <w:rFonts w:asciiTheme="minorEastAsia" w:hAnsiTheme="minorEastAsia" w:eastAsiaTheme="minorEastAsia"/>
          <w:sz w:val="24"/>
          <w:szCs w:val="24"/>
        </w:rPr>
        <w:t>。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asciiTheme="minorEastAsia" w:hAnsiTheme="minorEastAsia" w:eastAsiaTheme="minorEastAsia"/>
          <w:sz w:val="24"/>
          <w:szCs w:val="24"/>
        </w:rPr>
        <w:t>招标范围和内容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为了实现</w:t>
      </w:r>
      <w:r>
        <w:rPr>
          <w:rFonts w:hint="eastAsia" w:asciiTheme="minorEastAsia" w:hAnsiTheme="minorEastAsia" w:eastAsiaTheme="minorEastAsia"/>
          <w:sz w:val="24"/>
          <w:szCs w:val="24"/>
        </w:rPr>
        <w:t>低地球轨道原子氧环境的模拟</w:t>
      </w:r>
      <w:r>
        <w:rPr>
          <w:rFonts w:asciiTheme="minorEastAsia" w:hAnsiTheme="minorEastAsia" w:eastAsiaTheme="minorEastAsia"/>
          <w:sz w:val="24"/>
          <w:szCs w:val="24"/>
        </w:rPr>
        <w:t>，需要购置以下设备内容：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表1 货架产品采购清单</w:t>
      </w:r>
    </w:p>
    <w:tbl>
      <w:tblPr>
        <w:tblStyle w:val="12"/>
        <w:tblW w:w="8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711"/>
        <w:gridCol w:w="3562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2711" w:type="dxa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分项名称</w:t>
            </w:r>
          </w:p>
        </w:tc>
        <w:tc>
          <w:tcPr>
            <w:tcW w:w="3562" w:type="dxa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分项细目</w:t>
            </w:r>
          </w:p>
        </w:tc>
        <w:tc>
          <w:tcPr>
            <w:tcW w:w="1400" w:type="dxa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数量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/套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2711" w:type="dxa"/>
            <w:vMerge w:val="restart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微波原子氧系统</w:t>
            </w:r>
          </w:p>
        </w:tc>
        <w:tc>
          <w:tcPr>
            <w:tcW w:w="3562" w:type="dxa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真空容器</w:t>
            </w:r>
          </w:p>
        </w:tc>
        <w:tc>
          <w:tcPr>
            <w:tcW w:w="1400" w:type="dxa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711" w:type="dxa"/>
            <w:vMerge w:val="continue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62" w:type="dxa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真空系统</w:t>
            </w:r>
          </w:p>
        </w:tc>
        <w:tc>
          <w:tcPr>
            <w:tcW w:w="1400" w:type="dxa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711" w:type="dxa"/>
            <w:vMerge w:val="continue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62" w:type="dxa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微波原子氧源</w:t>
            </w:r>
          </w:p>
        </w:tc>
        <w:tc>
          <w:tcPr>
            <w:tcW w:w="1400" w:type="dxa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711" w:type="dxa"/>
            <w:vMerge w:val="continue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62" w:type="dxa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样品台</w:t>
            </w:r>
          </w:p>
        </w:tc>
        <w:tc>
          <w:tcPr>
            <w:tcW w:w="1400" w:type="dxa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711" w:type="dxa"/>
            <w:vMerge w:val="continue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62" w:type="dxa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真空紫外系统</w:t>
            </w:r>
          </w:p>
        </w:tc>
        <w:tc>
          <w:tcPr>
            <w:tcW w:w="1400" w:type="dxa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711" w:type="dxa"/>
            <w:vMerge w:val="continue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62" w:type="dxa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控制系统</w:t>
            </w:r>
          </w:p>
        </w:tc>
        <w:tc>
          <w:tcPr>
            <w:tcW w:w="1400" w:type="dxa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711" w:type="dxa"/>
            <w:vMerge w:val="continue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62" w:type="dxa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冷却机组</w:t>
            </w:r>
          </w:p>
        </w:tc>
        <w:tc>
          <w:tcPr>
            <w:tcW w:w="1400" w:type="dxa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711" w:type="dxa"/>
            <w:vMerge w:val="continue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62" w:type="dxa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氧气源</w:t>
            </w:r>
          </w:p>
        </w:tc>
        <w:tc>
          <w:tcPr>
            <w:tcW w:w="1400" w:type="dxa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</w:p>
        </w:tc>
      </w:tr>
    </w:tbl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bookmarkStart w:id="1" w:name="_Hlk488592187"/>
      <w:r>
        <w:rPr>
          <w:rFonts w:asciiTheme="minorEastAsia" w:hAnsiTheme="minorEastAsia" w:eastAsiaTheme="minorEastAsia"/>
          <w:sz w:val="24"/>
          <w:szCs w:val="24"/>
        </w:rPr>
        <w:t>表2 货架产品文件清单</w:t>
      </w:r>
      <w:bookmarkEnd w:id="1"/>
    </w:p>
    <w:tbl>
      <w:tblPr>
        <w:tblStyle w:val="11"/>
        <w:tblW w:w="44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6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6" w:type="pct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4374" w:type="pct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文件资料名称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26" w:type="pct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374" w:type="pct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产品出厂检测报告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26" w:type="pct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374" w:type="pct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装箱单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26" w:type="pct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374" w:type="pct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设备使用说明书，设备维护手册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26" w:type="pct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374" w:type="pct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必备软件光盘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26" w:type="pct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374" w:type="pct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技术验收规范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626" w:type="pct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374" w:type="pct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现场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安装调试大纲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26" w:type="pct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374" w:type="pct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产品交付清单（含文件清单）</w:t>
            </w:r>
          </w:p>
        </w:tc>
      </w:tr>
    </w:tbl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asciiTheme="minorEastAsia" w:hAnsiTheme="minorEastAsia" w:eastAsiaTheme="minorEastAsia"/>
          <w:sz w:val="24"/>
          <w:szCs w:val="24"/>
        </w:rPr>
        <w:t>产品的指标需求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3.1设备的技术参数、指标、设计要求、材料要求等。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</w:t>
      </w:r>
      <w:r>
        <w:rPr>
          <w:rFonts w:asciiTheme="minorEastAsia" w:hAnsiTheme="minorEastAsia" w:eastAsiaTheme="minorEastAsia"/>
          <w:sz w:val="24"/>
          <w:szCs w:val="24"/>
        </w:rPr>
        <w:t>.1.1</w:t>
      </w:r>
      <w:r>
        <w:rPr>
          <w:rFonts w:hint="eastAsia" w:asciiTheme="minorEastAsia" w:hAnsiTheme="minorEastAsia" w:eastAsiaTheme="minorEastAsia"/>
          <w:sz w:val="24"/>
          <w:szCs w:val="24"/>
        </w:rPr>
        <w:t>设备功能要求如下：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设备可以实现单一原子氧、真空紫外（115~200nm）试验及原子氧＋紫外综合辐照试验。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样品台能同时实现接受紫外及原子氧辐照试验；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</w:t>
      </w:r>
      <w:r>
        <w:rPr>
          <w:rFonts w:asciiTheme="minorEastAsia" w:hAnsiTheme="minorEastAsia" w:eastAsiaTheme="minorEastAsia"/>
          <w:sz w:val="24"/>
          <w:szCs w:val="24"/>
        </w:rPr>
        <w:t>.1.2</w:t>
      </w:r>
      <w:r>
        <w:rPr>
          <w:rFonts w:hint="eastAsia" w:asciiTheme="minorEastAsia" w:hAnsiTheme="minorEastAsia" w:eastAsiaTheme="minorEastAsia"/>
          <w:sz w:val="24"/>
          <w:szCs w:val="24"/>
        </w:rPr>
        <w:t>技术要求如下：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★（1）真空舱室：卧式结构，直径≥Φ600mm，长度根据设计需求确定，要求空载真空度达到10-5 Pa量级。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★（2）微波原子氧系统：以5eV（理论值）为中心，能量4~7eV（理论值），距中性化板位置40cm处通量&gt;1015/(cm2•s)，原子氧辐照</w:t>
      </w:r>
      <w:r>
        <w:rPr>
          <w:rFonts w:asciiTheme="minorEastAsia" w:hAnsiTheme="minorEastAsia" w:eastAsiaTheme="minorEastAsia"/>
          <w:sz w:val="24"/>
          <w:szCs w:val="24"/>
        </w:rPr>
        <w:t>面积≥Φ150mm，不均匀度≤10%，实现原子氧环境模拟；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★</w:t>
      </w:r>
      <w:r>
        <w:rPr>
          <w:rFonts w:asciiTheme="minorEastAsia" w:hAnsiTheme="minorEastAsia" w:eastAsiaTheme="minorEastAsia"/>
          <w:sz w:val="24"/>
          <w:szCs w:val="24"/>
        </w:rPr>
        <w:t>（3）真空紫外系统：波长范围115~200nm；真空紫外法兰接口总数不少于2个，配备不少于1套真空紫外光源，当真空紫外灯全部开启时（所有紫外法兰接口均安装了紫外灯条件下测试），在聚焦面形成≥Φ150m</w:t>
      </w:r>
      <w:r>
        <w:rPr>
          <w:rFonts w:hint="eastAsia" w:asciiTheme="minorEastAsia" w:hAnsiTheme="minorEastAsia" w:eastAsiaTheme="minorEastAsia"/>
          <w:sz w:val="24"/>
          <w:szCs w:val="24"/>
        </w:rPr>
        <w:t>m的辐照面积，最高辐照强度不低于5个真空紫外常数；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★（4）原子氧辐照试验样品台：设置高低温样品台，有效面积不小于200mm×200mm，样品台温度范围-30~50℃，预留液氮控温接口，能够承受不小于5kg的载重量；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★（5）控制系统：控制各部分功能及数据采集和存储，可实现远程监控。可以接入综合环境模拟分系统集中控制。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</w:t>
      </w:r>
      <w:r>
        <w:rPr>
          <w:rFonts w:asciiTheme="minorEastAsia" w:hAnsiTheme="minorEastAsia" w:eastAsiaTheme="minorEastAsia"/>
          <w:sz w:val="24"/>
          <w:szCs w:val="24"/>
        </w:rPr>
        <w:t>.1.3</w:t>
      </w:r>
      <w:r>
        <w:rPr>
          <w:rFonts w:hint="eastAsia" w:asciiTheme="minorEastAsia" w:hAnsiTheme="minorEastAsia" w:eastAsiaTheme="minorEastAsia"/>
          <w:sz w:val="24"/>
          <w:szCs w:val="24"/>
        </w:rPr>
        <w:t>设备配套系统：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（1）为微波原子氧提供氧气源，建议设置防爆气瓶柜。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（2）为微波原子氧系统提供冷却水。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（3）根据现场放置场地和配电柜情况，接入采购人指定配电柜。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3.2设备采用的标准应符合国家、行业标准，具体标准依据项目而定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1）设备整机制造厂和主要的配套件、外购件生产厂应</w:t>
      </w:r>
      <w:r>
        <w:rPr>
          <w:rFonts w:hint="eastAsia" w:asciiTheme="minorEastAsia" w:hAnsiTheme="minorEastAsia" w:eastAsiaTheme="minorEastAsia"/>
          <w:sz w:val="24"/>
          <w:szCs w:val="24"/>
        </w:rPr>
        <w:t>有对应质量管理体系认证</w:t>
      </w:r>
      <w:r>
        <w:rPr>
          <w:rFonts w:asciiTheme="minorEastAsia" w:hAnsiTheme="minorEastAsia" w:eastAsiaTheme="minorEastAsia"/>
          <w:sz w:val="24"/>
          <w:szCs w:val="24"/>
        </w:rPr>
        <w:t>，且体系运转良好。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2）</w:t>
      </w:r>
      <w:r>
        <w:rPr>
          <w:rFonts w:asciiTheme="minorEastAsia" w:hAnsiTheme="minorEastAsia" w:eastAsiaTheme="minorEastAsia"/>
          <w:sz w:val="24"/>
          <w:szCs w:val="24"/>
        </w:rPr>
        <w:t>配套组件、电气产品必须符合各类安全标准，通过安全认证。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</w:t>
      </w:r>
      <w:r>
        <w:rPr>
          <w:rFonts w:asciiTheme="minorEastAsia" w:hAnsiTheme="minorEastAsia" w:eastAsiaTheme="minorEastAsia"/>
          <w:sz w:val="24"/>
          <w:szCs w:val="24"/>
        </w:rPr>
        <w:t>货架设备的运输、现场安装调试、验收要求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1）包装运输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运输方式不限，需运到</w:t>
      </w:r>
      <w:r>
        <w:rPr>
          <w:rFonts w:hint="eastAsia" w:asciiTheme="minorEastAsia" w:hAnsiTheme="minorEastAsia" w:eastAsiaTheme="minorEastAsia"/>
          <w:sz w:val="24"/>
          <w:szCs w:val="24"/>
        </w:rPr>
        <w:t>采购人</w:t>
      </w:r>
      <w:r>
        <w:rPr>
          <w:rFonts w:asciiTheme="minorEastAsia" w:hAnsiTheme="minorEastAsia" w:eastAsiaTheme="minorEastAsia"/>
          <w:sz w:val="24"/>
          <w:szCs w:val="24"/>
        </w:rPr>
        <w:t>指定场地。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2）现场安装调试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产品到货后必须及时进行产品验证检验，检查是否含有出厂检测报告、装箱单、使用说明书、必备软件光盘、现场安装调试大纲、产品交付清单（含文件清单）等文件，验证过程需留存开箱照片，并留存检验验证记录。由</w:t>
      </w:r>
      <w:r>
        <w:rPr>
          <w:rFonts w:hint="eastAsia" w:asciiTheme="minorEastAsia" w:hAnsiTheme="minorEastAsia" w:eastAsiaTheme="minorEastAsia"/>
          <w:sz w:val="24"/>
          <w:szCs w:val="24"/>
        </w:rPr>
        <w:t>供应商</w:t>
      </w:r>
      <w:r>
        <w:rPr>
          <w:rFonts w:asciiTheme="minorEastAsia" w:hAnsiTheme="minorEastAsia" w:eastAsiaTheme="minorEastAsia"/>
          <w:sz w:val="24"/>
          <w:szCs w:val="24"/>
        </w:rPr>
        <w:t>工程师到用户现场进行仪器的安装，并对设备开箱、吊装、管线接口匹配的正确性负全部责任。</w:t>
      </w:r>
      <w:r>
        <w:rPr>
          <w:rFonts w:hint="eastAsia" w:asciiTheme="minorEastAsia" w:hAnsiTheme="minorEastAsia" w:eastAsiaTheme="minorEastAsia"/>
          <w:sz w:val="24"/>
          <w:szCs w:val="24"/>
        </w:rPr>
        <w:t>供应商</w:t>
      </w:r>
      <w:r>
        <w:rPr>
          <w:rFonts w:asciiTheme="minorEastAsia" w:hAnsiTheme="minorEastAsia" w:eastAsiaTheme="minorEastAsia"/>
          <w:sz w:val="24"/>
          <w:szCs w:val="24"/>
        </w:rPr>
        <w:t>应自备安装调试所需的检测及其它专用工具。</w:t>
      </w:r>
      <w:r>
        <w:rPr>
          <w:rFonts w:hint="eastAsia" w:asciiTheme="minorEastAsia" w:hAnsiTheme="minorEastAsia" w:eastAsiaTheme="minorEastAsia"/>
          <w:sz w:val="24"/>
          <w:szCs w:val="24"/>
        </w:rPr>
        <w:t>采购</w:t>
      </w:r>
      <w:r>
        <w:rPr>
          <w:rFonts w:asciiTheme="minorEastAsia" w:hAnsiTheme="minorEastAsia" w:eastAsiaTheme="minorEastAsia"/>
          <w:sz w:val="24"/>
          <w:szCs w:val="24"/>
        </w:rPr>
        <w:t>人应提供安装所需的其它辅助设备和功能，如安装调试现场及所需的电、气及辅料等；安装过程中，将进行下列工作：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a）清点：按合同及发货清单清点设备及备件。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b）安装及调试：将仪器通电，检查整机及所有的备件都运转正常，并对仪器进行调试，按照厂家提供的安装报告逐项检查仪器指标。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c</w:t>
      </w:r>
      <w:r>
        <w:rPr>
          <w:rFonts w:hint="eastAsia" w:asciiTheme="minorEastAsia" w:hAnsiTheme="minorEastAsia" w:eastAsiaTheme="minorEastAsia"/>
          <w:sz w:val="24"/>
          <w:szCs w:val="24"/>
        </w:rPr>
        <w:t>）</w:t>
      </w:r>
      <w:r>
        <w:rPr>
          <w:rFonts w:asciiTheme="minorEastAsia" w:hAnsiTheme="minorEastAsia" w:eastAsiaTheme="minorEastAsia"/>
          <w:sz w:val="24"/>
          <w:szCs w:val="24"/>
        </w:rPr>
        <w:t>设备验收前，</w:t>
      </w:r>
      <w:r>
        <w:rPr>
          <w:rFonts w:hint="eastAsia" w:asciiTheme="minorEastAsia" w:hAnsiTheme="minorEastAsia" w:eastAsiaTheme="minorEastAsia"/>
          <w:sz w:val="24"/>
          <w:szCs w:val="24"/>
        </w:rPr>
        <w:t>供应商</w:t>
      </w:r>
      <w:r>
        <w:rPr>
          <w:rFonts w:asciiTheme="minorEastAsia" w:hAnsiTheme="minorEastAsia" w:eastAsiaTheme="minorEastAsia"/>
          <w:sz w:val="24"/>
          <w:szCs w:val="24"/>
        </w:rPr>
        <w:t>对设备的</w:t>
      </w:r>
      <w:r>
        <w:rPr>
          <w:rFonts w:hint="eastAsia" w:asciiTheme="minorEastAsia" w:hAnsiTheme="minorEastAsia" w:eastAsiaTheme="minorEastAsia"/>
          <w:sz w:val="24"/>
          <w:szCs w:val="24"/>
        </w:rPr>
        <w:t>完整性</w:t>
      </w:r>
      <w:r>
        <w:rPr>
          <w:rFonts w:asciiTheme="minorEastAsia" w:hAnsiTheme="minorEastAsia" w:eastAsiaTheme="minorEastAsia"/>
          <w:sz w:val="24"/>
          <w:szCs w:val="24"/>
        </w:rPr>
        <w:t>和</w:t>
      </w:r>
      <w:r>
        <w:rPr>
          <w:rFonts w:hint="eastAsia" w:asciiTheme="minorEastAsia" w:hAnsiTheme="minorEastAsia" w:eastAsiaTheme="minorEastAsia"/>
          <w:sz w:val="24"/>
          <w:szCs w:val="24"/>
        </w:rPr>
        <w:t>技术指标</w:t>
      </w:r>
      <w:r>
        <w:rPr>
          <w:rFonts w:asciiTheme="minorEastAsia" w:hAnsiTheme="minorEastAsia" w:eastAsiaTheme="minorEastAsia"/>
          <w:sz w:val="24"/>
          <w:szCs w:val="24"/>
        </w:rPr>
        <w:t>合格性负全部责任。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3）设备最终验收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提供《技术验收规范》文件，对仪器的各项指标进行验收，确认仪器达到或超过合同规定的技术指标。满足技术指标后通过验收。</w:t>
      </w:r>
      <w:r>
        <w:rPr>
          <w:rFonts w:hint="eastAsia" w:asciiTheme="minorEastAsia" w:hAnsiTheme="minorEastAsia" w:eastAsiaTheme="minorEastAsia"/>
          <w:sz w:val="24"/>
          <w:szCs w:val="24"/>
        </w:rPr>
        <w:t>验收时，供应商需提交全部档案的电子版。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5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asciiTheme="minorEastAsia" w:hAnsiTheme="minorEastAsia" w:eastAsiaTheme="minorEastAsia"/>
          <w:sz w:val="24"/>
          <w:szCs w:val="24"/>
        </w:rPr>
        <w:t>货架设备的现场培训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1）供应商在投标时应提供较详细的对采购人人员的培训计划；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2）供应商应在验收前完成对采购人运行人员的培训，并提供完整的《设备使用</w:t>
      </w:r>
      <w:r>
        <w:rPr>
          <w:rFonts w:asciiTheme="minorEastAsia" w:hAnsiTheme="minorEastAsia" w:eastAsiaTheme="minorEastAsia"/>
          <w:sz w:val="24"/>
          <w:szCs w:val="24"/>
        </w:rPr>
        <w:t>说明书</w:t>
      </w:r>
      <w:r>
        <w:rPr>
          <w:rFonts w:hint="eastAsia" w:asciiTheme="minorEastAsia" w:hAnsiTheme="minorEastAsia" w:eastAsiaTheme="minorEastAsia"/>
          <w:sz w:val="24"/>
          <w:szCs w:val="24"/>
        </w:rPr>
        <w:t>》、《</w:t>
      </w:r>
      <w:r>
        <w:rPr>
          <w:rFonts w:asciiTheme="minorEastAsia" w:hAnsiTheme="minorEastAsia" w:eastAsiaTheme="minorEastAsia"/>
          <w:sz w:val="24"/>
          <w:szCs w:val="24"/>
        </w:rPr>
        <w:t>设备维护手册</w:t>
      </w:r>
      <w:r>
        <w:rPr>
          <w:rFonts w:hint="eastAsia" w:asciiTheme="minorEastAsia" w:hAnsiTheme="minorEastAsia" w:eastAsiaTheme="minorEastAsia"/>
          <w:sz w:val="24"/>
          <w:szCs w:val="24"/>
        </w:rPr>
        <w:t>》；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）供应商驻派有经验、态度积极的工程师进行培训，培训过程有问题随时解答，确保采购人的有关操作人员能独立、熟练、正确操作使用、维护设备，有关的维修人员能独立排除设备的常见故障，中途不得更换工程师；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4）供应商对采购人人员培训内容包括但不限于设备原理、设备电路线路原理、机械结构及各功能模块介绍、以及设备基本故障诊断排查、易损部件更换、程序设置、工艺操作等；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现场培训需在招标人指定地点进行，培训期间投标人发生的费用自行解决。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</w:t>
      </w:r>
      <w:r>
        <w:rPr>
          <w:rFonts w:asciiTheme="minorEastAsia" w:hAnsiTheme="minorEastAsia" w:eastAsiaTheme="minorEastAsia"/>
          <w:sz w:val="24"/>
          <w:szCs w:val="24"/>
        </w:rPr>
        <w:t>货架设备的售后服务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1）自哈尔滨工业大学验收签字认可之日起开始计算质量保证期。供应商需提供</w:t>
      </w:r>
      <w:r>
        <w:rPr>
          <w:rFonts w:asciiTheme="minorEastAsia" w:hAnsiTheme="minorEastAsia" w:eastAsiaTheme="minorEastAsia"/>
          <w:sz w:val="24"/>
          <w:szCs w:val="24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年（即质量保证期）现场免费保修服务（包括部件、人力等）；质量保证期内需满足</w:t>
      </w:r>
      <w:r>
        <w:rPr>
          <w:rFonts w:asciiTheme="minorEastAsia" w:hAnsiTheme="minorEastAsia" w:eastAsiaTheme="minorEastAsia"/>
          <w:sz w:val="24"/>
          <w:szCs w:val="24"/>
        </w:rPr>
        <w:t>24</w:t>
      </w:r>
      <w:r>
        <w:rPr>
          <w:rFonts w:hint="eastAsia" w:asciiTheme="minorEastAsia" w:hAnsiTheme="minorEastAsia" w:eastAsiaTheme="minorEastAsia"/>
          <w:sz w:val="24"/>
          <w:szCs w:val="24"/>
        </w:rPr>
        <w:t>小时内提供技术响应，48小时内到达现场，5个工作日内排除故障。如不能按期排除故障，则设备保修期顺延，如有特殊情况，双方协商；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）供应商应保证其提供的货物是全新的、未使用过的，采用的是最佳材料和第一流的工艺，并在各个方面符合合同规定的质量、规格和性能要求。供应商应保证其货物在经过正确安装、合理操作和维护保养的前提下，在货物寿命期内运转良好。在规定的质量保证期内，供应商应对由于设计、工艺或材料的缺陷而造成的任何缺陷或故障负责。除合同中另有规定外，出现上述情况，供应商应在上述响应时间内，免费负责修理或更换有缺陷的零部件或整机。对造成的损失采购人保留索赔的权利；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3）设备验收前，发生的任何部件失效，均由供应商免费提供全新替换；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4）质量保证期内，发生非消耗性部件失效，由供应商负责免费提供全新部件替换；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5）</w:t>
      </w:r>
      <w:r>
        <w:rPr>
          <w:rFonts w:hint="eastAsia" w:asciiTheme="minorEastAsia" w:hAnsiTheme="minorEastAsia" w:eastAsiaTheme="minorEastAsia"/>
          <w:sz w:val="24"/>
          <w:szCs w:val="24"/>
        </w:rPr>
        <w:t>质量保证期内，</w:t>
      </w:r>
      <w:r>
        <w:rPr>
          <w:rFonts w:asciiTheme="minorEastAsia" w:hAnsiTheme="minorEastAsia" w:eastAsiaTheme="minorEastAsia"/>
          <w:sz w:val="24"/>
          <w:szCs w:val="24"/>
        </w:rPr>
        <w:t>任何软件更新，由</w:t>
      </w:r>
      <w:r>
        <w:rPr>
          <w:rFonts w:hint="eastAsia" w:asciiTheme="minorEastAsia" w:hAnsiTheme="minorEastAsia" w:eastAsiaTheme="minorEastAsia"/>
          <w:sz w:val="24"/>
          <w:szCs w:val="24"/>
        </w:rPr>
        <w:t>供应商</w:t>
      </w:r>
      <w:r>
        <w:rPr>
          <w:rFonts w:asciiTheme="minorEastAsia" w:hAnsiTheme="minorEastAsia" w:eastAsiaTheme="minorEastAsia"/>
          <w:sz w:val="24"/>
          <w:szCs w:val="24"/>
        </w:rPr>
        <w:t>免费提供</w:t>
      </w:r>
      <w:r>
        <w:rPr>
          <w:rFonts w:hint="eastAsia" w:asciiTheme="minorEastAsia" w:hAnsiTheme="minorEastAsia" w:eastAsiaTheme="minorEastAsia"/>
          <w:sz w:val="24"/>
          <w:szCs w:val="24"/>
        </w:rPr>
        <w:t>给</w:t>
      </w:r>
      <w:r>
        <w:rPr>
          <w:rFonts w:asciiTheme="minorEastAsia" w:hAnsiTheme="minorEastAsia" w:eastAsiaTheme="minorEastAsia"/>
          <w:sz w:val="24"/>
          <w:szCs w:val="24"/>
        </w:rPr>
        <w:t>哈尔滨工业大学；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6</w:t>
      </w:r>
      <w:r>
        <w:rPr>
          <w:rFonts w:hint="eastAsia" w:asciiTheme="minorEastAsia" w:hAnsiTheme="minorEastAsia" w:eastAsiaTheme="minorEastAsia"/>
          <w:sz w:val="24"/>
          <w:szCs w:val="24"/>
        </w:rPr>
        <w:t>）供应商在质量保证期内至少保证一次回访，并形成必要的维修、更新、检查记录；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7</w:t>
      </w:r>
      <w:r>
        <w:rPr>
          <w:rFonts w:hint="eastAsia" w:asciiTheme="minorEastAsia" w:hAnsiTheme="minorEastAsia" w:eastAsiaTheme="minorEastAsia"/>
          <w:sz w:val="24"/>
          <w:szCs w:val="24"/>
        </w:rPr>
        <w:t>）质量保证期期满后，供应</w:t>
      </w:r>
      <w:bookmarkStart w:id="2" w:name="_GoBack"/>
      <w:bookmarkEnd w:id="2"/>
      <w:r>
        <w:rPr>
          <w:rFonts w:hint="eastAsia" w:asciiTheme="minorEastAsia" w:hAnsiTheme="minorEastAsia" w:eastAsiaTheme="minorEastAsia"/>
          <w:sz w:val="24"/>
          <w:szCs w:val="24"/>
        </w:rPr>
        <w:t>商继续为采购人提供专业维修服务，由此发生的相关服务和备品备件费用由采购人承担；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8）</w:t>
      </w:r>
      <w:r>
        <w:rPr>
          <w:rFonts w:hint="eastAsia" w:asciiTheme="minorEastAsia" w:hAnsiTheme="minorEastAsia" w:eastAsiaTheme="minorEastAsia"/>
          <w:sz w:val="24"/>
          <w:szCs w:val="24"/>
        </w:rPr>
        <w:t>供应商</w:t>
      </w:r>
      <w:r>
        <w:rPr>
          <w:rFonts w:asciiTheme="minorEastAsia" w:hAnsiTheme="minorEastAsia" w:eastAsiaTheme="minorEastAsia"/>
          <w:sz w:val="24"/>
          <w:szCs w:val="24"/>
        </w:rPr>
        <w:t>或设备制造商应在中国大陆境内设立有备件库和维修中心，保证有应用工程师和售后工程师为</w:t>
      </w:r>
      <w:r>
        <w:rPr>
          <w:rFonts w:hint="eastAsia" w:asciiTheme="minorEastAsia" w:hAnsiTheme="minorEastAsia" w:eastAsiaTheme="minorEastAsia"/>
          <w:sz w:val="24"/>
          <w:szCs w:val="24"/>
        </w:rPr>
        <w:t>采购</w:t>
      </w:r>
      <w:r>
        <w:rPr>
          <w:rFonts w:asciiTheme="minorEastAsia" w:hAnsiTheme="minorEastAsia" w:eastAsiaTheme="minorEastAsia"/>
          <w:sz w:val="24"/>
          <w:szCs w:val="24"/>
        </w:rPr>
        <w:t>人提供持续的技术支持和售后服务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提醒注意：</w:t>
      </w:r>
    </w:p>
    <w:tbl>
      <w:tblPr>
        <w:tblStyle w:val="11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3857"/>
        <w:gridCol w:w="2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标的名称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所属行业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微波原子氧系统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 w:val="0"/>
              <w:adjustRightInd/>
              <w:snapToGrid/>
              <w:spacing w:after="0"/>
              <w:ind w:firstLine="360" w:firstLineChars="15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其他未列明行业</w:t>
            </w:r>
          </w:p>
        </w:tc>
      </w:tr>
    </w:tbl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2"/>
    <w:multiLevelType w:val="singleLevel"/>
    <w:tmpl w:val="FFFFFF82"/>
    <w:lvl w:ilvl="0" w:tentative="0">
      <w:start w:val="1"/>
      <w:numFmt w:val="bullet"/>
      <w:pStyle w:val="5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zI1ODVlMDk1ODg1MmFjZmVkNDE4ODNiMzAxODdhMWYifQ=="/>
  </w:docVars>
  <w:rsids>
    <w:rsidRoot w:val="00D31D50"/>
    <w:rsid w:val="00112AC8"/>
    <w:rsid w:val="00124E93"/>
    <w:rsid w:val="001302F6"/>
    <w:rsid w:val="00285E97"/>
    <w:rsid w:val="00323B43"/>
    <w:rsid w:val="003D37D8"/>
    <w:rsid w:val="00426133"/>
    <w:rsid w:val="004358AB"/>
    <w:rsid w:val="006441F7"/>
    <w:rsid w:val="006C3435"/>
    <w:rsid w:val="008B7726"/>
    <w:rsid w:val="009146CA"/>
    <w:rsid w:val="009B6EA1"/>
    <w:rsid w:val="00A124CC"/>
    <w:rsid w:val="00C0128F"/>
    <w:rsid w:val="00C33758"/>
    <w:rsid w:val="00D31D50"/>
    <w:rsid w:val="5C020C1A"/>
    <w:rsid w:val="7193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qFormat="1"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widowControl w:val="0"/>
      <w:adjustRightInd/>
      <w:snapToGrid/>
      <w:spacing w:before="240" w:after="240"/>
      <w:ind w:left="100" w:leftChars="100" w:right="100" w:rightChars="100"/>
      <w:jc w:val="center"/>
      <w:outlineLvl w:val="0"/>
    </w:pPr>
    <w:rPr>
      <w:rFonts w:ascii="Calibri" w:hAnsi="Calibri" w:eastAsia="黑体" w:cs="Times New Roman"/>
      <w:bCs/>
      <w:kern w:val="44"/>
      <w:sz w:val="44"/>
      <w:szCs w:val="44"/>
    </w:rPr>
  </w:style>
  <w:style w:type="paragraph" w:styleId="4">
    <w:name w:val="heading 3"/>
    <w:basedOn w:val="1"/>
    <w:next w:val="1"/>
    <w:qFormat/>
    <w:uiPriority w:val="0"/>
    <w:pPr>
      <w:tabs>
        <w:tab w:val="left" w:pos="851"/>
      </w:tabs>
      <w:autoSpaceDE w:val="0"/>
      <w:autoSpaceDN w:val="0"/>
      <w:adjustRightInd w:val="0"/>
      <w:snapToGrid w:val="0"/>
      <w:spacing w:line="360" w:lineRule="auto"/>
      <w:outlineLvl w:val="2"/>
    </w:pPr>
    <w:rPr>
      <w:rFonts w:ascii="宋体"/>
      <w:kern w:val="0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List Bullet 3"/>
    <w:basedOn w:val="1"/>
    <w:semiHidden/>
    <w:unhideWhenUsed/>
    <w:qFormat/>
    <w:uiPriority w:val="99"/>
    <w:pPr>
      <w:numPr>
        <w:ilvl w:val="0"/>
        <w:numId w:val="1"/>
      </w:numPr>
      <w:contextualSpacing/>
    </w:pPr>
  </w:style>
  <w:style w:type="paragraph" w:styleId="6">
    <w:name w:val="Balloon Text"/>
    <w:basedOn w:val="1"/>
    <w:link w:val="1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7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toc 4"/>
    <w:basedOn w:val="1"/>
    <w:next w:val="1"/>
    <w:semiHidden/>
    <w:unhideWhenUsed/>
    <w:qFormat/>
    <w:uiPriority w:val="39"/>
    <w:pPr>
      <w:ind w:left="1260" w:leftChars="600"/>
    </w:pPr>
  </w:style>
  <w:style w:type="paragraph" w:styleId="10">
    <w:name w:val="Normal (Web)"/>
    <w:basedOn w:val="1"/>
    <w:qFormat/>
    <w:uiPriority w:val="0"/>
    <w:pPr>
      <w:adjustRightInd/>
      <w:snapToGrid/>
      <w:spacing w:before="100" w:beforeAutospacing="1" w:after="100" w:afterAutospacing="1" w:line="270" w:lineRule="atLeast"/>
    </w:pPr>
    <w:rPr>
      <w:rFonts w:ascii="Times New Roman" w:hAnsi="Times New Roman" w:eastAsia="宋体" w:cs="Times New Roman"/>
      <w:color w:val="333333"/>
      <w:sz w:val="18"/>
      <w:szCs w:val="18"/>
    </w:rPr>
  </w:style>
  <w:style w:type="table" w:styleId="12">
    <w:name w:val="Table Grid"/>
    <w:basedOn w:val="11"/>
    <w:qFormat/>
    <w:uiPriority w:val="59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批注框文本 Char"/>
    <w:basedOn w:val="13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页眉 Char"/>
    <w:basedOn w:val="13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页脚 Char"/>
    <w:basedOn w:val="13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7">
    <w:name w:val="标题 1 Char"/>
    <w:basedOn w:val="13"/>
    <w:link w:val="3"/>
    <w:qFormat/>
    <w:uiPriority w:val="0"/>
    <w:rPr>
      <w:rFonts w:ascii="Calibri" w:hAnsi="Calibri" w:eastAsia="黑体" w:cs="Times New Roman"/>
      <w:bCs/>
      <w:kern w:val="44"/>
      <w:sz w:val="44"/>
      <w:szCs w:val="44"/>
    </w:rPr>
  </w:style>
  <w:style w:type="paragraph" w:styleId="18">
    <w:name w:val="List Paragraph"/>
    <w:basedOn w:val="1"/>
    <w:next w:val="9"/>
    <w:link w:val="19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</w:rPr>
  </w:style>
  <w:style w:type="character" w:customStyle="1" w:styleId="19">
    <w:name w:val="列出段落 Char"/>
    <w:link w:val="18"/>
    <w:qFormat/>
    <w:locked/>
    <w:uiPriority w:val="34"/>
    <w:rPr>
      <w:rFonts w:ascii="Calibri" w:hAnsi="Calibri" w:eastAsia="宋体" w:cs="Times New Roman"/>
      <w:kern w:val="2"/>
      <w:sz w:val="21"/>
      <w:szCs w:val="24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760</Words>
  <Characters>960</Characters>
  <Lines>27</Lines>
  <Paragraphs>7</Paragraphs>
  <TotalTime>0</TotalTime>
  <ScaleCrop>false</ScaleCrop>
  <LinksUpToDate>false</LinksUpToDate>
  <CharactersWithSpaces>974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WPS_1642326638</cp:lastModifiedBy>
  <dcterms:modified xsi:type="dcterms:W3CDTF">2022-08-26T01:48:36Z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2C5292C055064677BD3E3E0FBF3FC865</vt:lpwstr>
  </property>
</Properties>
</file>