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kern w:val="44"/>
          <w:sz w:val="44"/>
          <w:szCs w:val="44"/>
        </w:rPr>
      </w:pPr>
      <w:bookmarkStart w:id="0" w:name="_Toc96437825"/>
      <w:r>
        <w:rPr>
          <w:rFonts w:hint="eastAsia" w:ascii="黑体" w:hAnsi="黑体" w:eastAsia="黑体" w:cs="黑体"/>
          <w:b/>
          <w:bCs/>
          <w:kern w:val="0"/>
          <w:sz w:val="44"/>
          <w:szCs w:val="20"/>
        </w:rPr>
        <w:t>采购</w:t>
      </w:r>
      <w:r>
        <w:rPr>
          <w:rFonts w:hint="eastAsia" w:ascii="黑体" w:hAnsi="黑体" w:eastAsia="黑体" w:cs="黑体"/>
          <w:b/>
          <w:bCs/>
          <w:kern w:val="44"/>
          <w:sz w:val="44"/>
          <w:szCs w:val="44"/>
        </w:rPr>
        <w:t>需求</w:t>
      </w:r>
      <w:bookmarkEnd w:id="0"/>
    </w:p>
    <w:p>
      <w:pPr>
        <w:snapToGrid w:val="0"/>
        <w:spacing w:line="360" w:lineRule="auto"/>
        <w:ind w:firstLine="482" w:firstLineChars="200"/>
        <w:rPr>
          <w:rFonts w:hint="default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</w:pPr>
      <w:r>
        <w:rPr>
          <w:rFonts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★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所提供样品必须全部满足技术参数指标，详见塑料袋品类需求及技术参数一览表；</w:t>
      </w:r>
    </w:p>
    <w:p>
      <w:pPr>
        <w:snapToGrid w:val="0"/>
        <w:spacing w:line="360" w:lineRule="auto"/>
        <w:ind w:firstLine="482" w:firstLineChars="200"/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</w:pPr>
      <w:r>
        <w:rPr>
          <w:rFonts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★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食品级塑料袋需要提供CMA认证的第三方检测机构出具符合相关国家执行标准的检测报告；</w:t>
      </w:r>
    </w:p>
    <w:p>
      <w:pPr>
        <w:snapToGrid w:val="0"/>
        <w:spacing w:line="360" w:lineRule="auto"/>
        <w:ind w:firstLine="482" w:firstLineChars="200"/>
        <w:rPr>
          <w:rFonts w:hint="default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</w:pPr>
      <w:r>
        <w:rPr>
          <w:rFonts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★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报价前需要提供样品；</w:t>
      </w:r>
    </w:p>
    <w:p>
      <w:pPr>
        <w:snapToGrid w:val="0"/>
        <w:spacing w:line="360" w:lineRule="auto"/>
        <w:ind w:firstLine="482" w:firstLineChars="200"/>
        <w:rPr>
          <w:rFonts w:hint="default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</w:pPr>
      <w:r>
        <w:rPr>
          <w:rFonts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★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成交供应商在供货期内须按照报价时所提供的样品进行供货；</w:t>
      </w:r>
    </w:p>
    <w:p>
      <w:pPr>
        <w:snapToGrid w:val="0"/>
        <w:spacing w:line="360" w:lineRule="auto"/>
        <w:ind w:firstLine="482" w:firstLineChars="200"/>
        <w:rPr>
          <w:rFonts w:hint="default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</w:pPr>
      <w:r>
        <w:rPr>
          <w:rFonts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★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结算方式按照单次送货单次结算，进货周期（每月或每季度）；</w:t>
      </w:r>
    </w:p>
    <w:p>
      <w:pPr>
        <w:snapToGrid w:val="0"/>
        <w:spacing w:line="360" w:lineRule="auto"/>
        <w:ind w:firstLine="482" w:firstLineChars="200"/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</w:pPr>
      <w:r>
        <w:rPr>
          <w:rFonts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★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垃圾袋提供原生料证明；</w:t>
      </w:r>
    </w:p>
    <w:p>
      <w:pPr>
        <w:snapToGrid w:val="0"/>
        <w:spacing w:line="360" w:lineRule="auto"/>
        <w:ind w:firstLine="482" w:firstLineChars="200"/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</w:pPr>
      <w:r>
        <w:rPr>
          <w:rFonts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★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按照需求单位，成交后需要给各使用单位提供样品留存；</w:t>
      </w:r>
      <w:bookmarkStart w:id="1" w:name="_GoBack"/>
    </w:p>
    <w:bookmarkEnd w:id="1"/>
    <w:p>
      <w:pPr>
        <w:snapToGrid w:val="0"/>
        <w:spacing w:line="360" w:lineRule="auto"/>
        <w:ind w:firstLine="482" w:firstLineChars="200"/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</w:pPr>
      <w:r>
        <w:rPr>
          <w:rFonts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★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售后服务要求：供应商供货期内不能按照成交内容进行供货的，货物质量与报价时递交的样品不符的，每发现一次从履约保证金中扣除成交金额的2%，并补齐实际单次订购货物数量，已发生使用的货物不予退还；</w:t>
      </w:r>
    </w:p>
    <w:p>
      <w:pPr>
        <w:snapToGrid w:val="0"/>
        <w:spacing w:line="360" w:lineRule="auto"/>
        <w:ind w:firstLine="482" w:firstLineChars="200"/>
        <w:rPr>
          <w:rFonts w:hint="default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</w:pPr>
      <w:r>
        <w:rPr>
          <w:rFonts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★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报价时需要注明产品品牌规格（附照片），如若塑料袋没有品牌可以标明生产厂家；</w:t>
      </w:r>
    </w:p>
    <w:p>
      <w:pPr>
        <w:snapToGrid w:val="0"/>
        <w:spacing w:line="360" w:lineRule="auto"/>
        <w:ind w:firstLine="482" w:firstLineChars="200"/>
        <w:rPr>
          <w:rFonts w:hint="default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</w:pPr>
      <w:r>
        <w:rPr>
          <w:rFonts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★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饮食类塑料袋采购均执行食品级材质供应。（需要提供CMA认证的第三方检测机构出具符合相关国家执行标准的检测报告）。</w:t>
      </w:r>
    </w:p>
    <w:p>
      <w:pPr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color w:val="auto"/>
          <w:kern w:val="0"/>
          <w:sz w:val="24"/>
          <w:szCs w:val="20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kern w:val="0"/>
          <w:sz w:val="24"/>
          <w:szCs w:val="20"/>
          <w:highlight w:val="none"/>
        </w:rPr>
        <w:t>提醒注意：</w:t>
      </w:r>
    </w:p>
    <w:p>
      <w:pPr>
        <w:snapToGrid w:val="0"/>
        <w:spacing w:line="360" w:lineRule="auto"/>
        <w:ind w:firstLine="482" w:firstLineChars="200"/>
        <w:rPr>
          <w:rFonts w:ascii="Times New Roman" w:hAnsi="Times New Roman" w:eastAsia="宋体" w:cs="Times New Roman"/>
          <w:b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kern w:val="0"/>
          <w:sz w:val="24"/>
          <w:szCs w:val="20"/>
          <w:highlight w:val="none"/>
        </w:rPr>
        <w:t>1</w:t>
      </w:r>
      <w:r>
        <w:rPr>
          <w:rFonts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、上述</w:t>
      </w:r>
      <w:r>
        <w:rPr>
          <w:rFonts w:hint="eastAsia"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技术要求</w:t>
      </w:r>
      <w:r>
        <w:rPr>
          <w:rFonts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中</w:t>
      </w:r>
      <w:r>
        <w:rPr>
          <w:rFonts w:ascii="Times New Roman" w:hAnsi="Times New Roman" w:eastAsia="宋体" w:cs="Times New Roman"/>
          <w:b/>
          <w:color w:val="auto"/>
          <w:kern w:val="0"/>
          <w:sz w:val="24"/>
          <w:szCs w:val="20"/>
          <w:highlight w:val="none"/>
        </w:rPr>
        <w:t>“</w:t>
      </w:r>
      <w:r>
        <w:rPr>
          <w:rFonts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★</w:t>
      </w:r>
      <w:r>
        <w:rPr>
          <w:rFonts w:ascii="Times New Roman" w:hAnsi="Times New Roman" w:eastAsia="宋体" w:cs="Times New Roman"/>
          <w:b/>
          <w:color w:val="auto"/>
          <w:kern w:val="0"/>
          <w:sz w:val="24"/>
          <w:szCs w:val="20"/>
          <w:highlight w:val="none"/>
        </w:rPr>
        <w:t>”</w:t>
      </w:r>
      <w:r>
        <w:rPr>
          <w:rFonts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项技术参数均为重要技术指标，有一项负偏离按</w:t>
      </w:r>
      <w:r>
        <w:rPr>
          <w:rFonts w:hint="eastAsia" w:ascii="Times New Roman" w:hAnsi="宋体" w:eastAsia="宋体" w:cs="Times New Roman"/>
          <w:b/>
          <w:color w:val="auto"/>
          <w:kern w:val="0"/>
          <w:sz w:val="24"/>
          <w:szCs w:val="20"/>
          <w:highlight w:val="none"/>
          <w:lang w:val="en-US" w:eastAsia="zh-CN"/>
        </w:rPr>
        <w:t>响应</w:t>
      </w:r>
      <w:r>
        <w:rPr>
          <w:rFonts w:ascii="Times New Roman" w:hAnsi="宋体" w:eastAsia="宋体" w:cs="Times New Roman"/>
          <w:b/>
          <w:color w:val="auto"/>
          <w:kern w:val="0"/>
          <w:sz w:val="24"/>
          <w:szCs w:val="20"/>
          <w:highlight w:val="none"/>
        </w:rPr>
        <w:t>无效处理。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szCs w:val="20"/>
          <w:highlight w:val="none"/>
        </w:rPr>
        <w:t>2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、供应商对上述表格中所有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货物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及参数在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响应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文件的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highlight w:val="none"/>
          <w:lang w:eastAsia="zh-CN"/>
        </w:rPr>
        <w:t>“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技术偏离表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highlight w:val="none"/>
          <w:lang w:eastAsia="zh-CN"/>
        </w:rPr>
        <w:t>”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中进行响应。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szCs w:val="20"/>
          <w:highlight w:val="none"/>
        </w:rPr>
        <w:t>3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、供应商应注意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采购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文件的技术参数中指出的工艺、材料、软件和设备的参照品牌或型号仅起说明作用，并没有任何限制性。供应商在采购活动中可以选用替代标准、品牌或型号，但这些替代要实质上满足或超过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采购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文件的要求。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szCs w:val="20"/>
          <w:highlight w:val="none"/>
        </w:rPr>
        <w:t>4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、供应商应按己方所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报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货物的实际技术参数填写，如经评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审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委员会发现未按所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报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产品品牌的实际技术参数进行应答，而是完全复制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采购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文件的技术参数，与所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报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品牌的实际技术参数不符的，按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响应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无效处理。技术偏离表中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0"/>
          <w:highlight w:val="none"/>
        </w:rPr>
        <w:t>“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响应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文件响应情况</w:t>
      </w:r>
      <w:r>
        <w:rPr>
          <w:rFonts w:ascii="Times New Roman" w:hAnsi="Times New Roman" w:eastAsia="宋体" w:cs="Times New Roman"/>
          <w:color w:val="auto"/>
          <w:kern w:val="0"/>
          <w:sz w:val="24"/>
          <w:szCs w:val="20"/>
          <w:highlight w:val="none"/>
        </w:rPr>
        <w:t>”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应如实填写，并与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highlight w:val="none"/>
          <w:lang w:eastAsia="zh-CN"/>
        </w:rPr>
        <w:t>“</w:t>
      </w:r>
      <w:r>
        <w:rPr>
          <w:rFonts w:hint="eastAsia" w:ascii="Times New Roman" w:hAnsi="宋体" w:eastAsia="宋体" w:cs="Times New Roman"/>
          <w:bCs/>
          <w:color w:val="auto"/>
          <w:kern w:val="0"/>
          <w:sz w:val="24"/>
          <w:szCs w:val="20"/>
          <w:highlight w:val="none"/>
          <w:lang w:val="en-US" w:eastAsia="zh-CN"/>
        </w:rPr>
        <w:t>采购</w:t>
      </w:r>
      <w:r>
        <w:rPr>
          <w:rFonts w:ascii="Times New Roman" w:hAnsi="宋体" w:eastAsia="宋体" w:cs="Times New Roman"/>
          <w:bCs/>
          <w:color w:val="auto"/>
          <w:kern w:val="0"/>
          <w:sz w:val="24"/>
          <w:szCs w:val="20"/>
          <w:highlight w:val="none"/>
        </w:rPr>
        <w:t>文件技术参数要求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highlight w:val="none"/>
          <w:lang w:eastAsia="zh-CN"/>
        </w:rPr>
        <w:t>”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一一对应，如简单填写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highlight w:val="none"/>
          <w:lang w:eastAsia="zh-CN"/>
        </w:rPr>
        <w:t>“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响应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highlight w:val="none"/>
          <w:lang w:eastAsia="zh-CN"/>
        </w:rPr>
        <w:t>”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或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highlight w:val="none"/>
          <w:lang w:eastAsia="zh-CN"/>
        </w:rPr>
        <w:t>“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完全响应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highlight w:val="none"/>
          <w:lang w:eastAsia="zh-CN"/>
        </w:rPr>
        <w:t>”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按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响应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文件无效处理。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szCs w:val="20"/>
          <w:highlight w:val="none"/>
        </w:rPr>
        <w:t>5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、报价产品的各项技术指标不能低于国家强制性标准，否则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响应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无效。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szCs w:val="20"/>
          <w:highlight w:val="none"/>
        </w:rPr>
        <w:t>6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、所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报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产品中如要求安装软件，应提供正版软件，并开放技术协议，能与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已有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的控制系统兼容，否则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  <w:lang w:val="en-US" w:eastAsia="zh-CN"/>
        </w:rPr>
        <w:t>报价</w:t>
      </w:r>
      <w:r>
        <w:rPr>
          <w:rFonts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无效</w:t>
      </w:r>
      <w:r>
        <w:rPr>
          <w:rFonts w:hint="eastAsia" w:ascii="Times New Roman" w:hAnsi="宋体" w:eastAsia="宋体" w:cs="Times New Roman"/>
          <w:color w:val="auto"/>
          <w:kern w:val="0"/>
          <w:sz w:val="24"/>
          <w:szCs w:val="20"/>
          <w:highlight w:val="none"/>
        </w:rPr>
        <w:t>。</w:t>
      </w:r>
    </w:p>
    <w:p>
      <w:pPr>
        <w:jc w:val="center"/>
        <w:rPr>
          <w:rFonts w:hint="eastAsia" w:ascii="Times New Roman" w:hAnsi="宋体" w:eastAsia="宋体" w:cs="Times New Roman"/>
          <w:color w:val="auto"/>
          <w:kern w:val="0"/>
          <w:sz w:val="28"/>
          <w:szCs w:val="28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</w:rPr>
      </w:pPr>
      <w:r>
        <w:rPr>
          <w:rFonts w:hint="eastAsia" w:ascii="Times New Roman" w:hAnsi="宋体" w:eastAsia="宋体" w:cs="Times New Roman"/>
          <w:color w:val="auto"/>
          <w:sz w:val="28"/>
          <w:szCs w:val="28"/>
          <w:highlight w:val="none"/>
          <w:lang w:val="en-US" w:eastAsia="zh-CN"/>
        </w:rPr>
        <w:t>塑料袋品类需求及技术参数一览表</w:t>
      </w:r>
    </w:p>
    <w:tbl>
      <w:tblPr>
        <w:tblStyle w:val="16"/>
        <w:tblW w:w="141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56"/>
        <w:gridCol w:w="2730"/>
        <w:gridCol w:w="1245"/>
        <w:gridCol w:w="2322"/>
        <w:gridCol w:w="1080"/>
        <w:gridCol w:w="1589"/>
        <w:gridCol w:w="1566"/>
        <w:gridCol w:w="1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合计数量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产品参数（参数描述要详细材质、长度、重量、规格等）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质保区间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食品袋1.5公斤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103505</wp:posOffset>
                  </wp:positionV>
                  <wp:extent cx="791210" cy="687070"/>
                  <wp:effectExtent l="0" t="0" r="8890" b="17780"/>
                  <wp:wrapNone/>
                  <wp:docPr id="3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87630</wp:posOffset>
                  </wp:positionV>
                  <wp:extent cx="876935" cy="734695"/>
                  <wp:effectExtent l="0" t="0" r="18415" b="8255"/>
                  <wp:wrapNone/>
                  <wp:docPr id="31" name="图片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93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食品级，聚乙烯材质,可承载1.5公斤物品，规格：长≥31.5cm，宽≥21.5cm ,重量≥5g/个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食品袋3公斤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266065</wp:posOffset>
                  </wp:positionV>
                  <wp:extent cx="867410" cy="619760"/>
                  <wp:effectExtent l="0" t="0" r="8890" b="8890"/>
                  <wp:wrapNone/>
                  <wp:docPr id="33" name="图片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265430</wp:posOffset>
                  </wp:positionV>
                  <wp:extent cx="772160" cy="657225"/>
                  <wp:effectExtent l="0" t="0" r="8890" b="9525"/>
                  <wp:wrapNone/>
                  <wp:docPr id="28" name="图片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食品级，聚乙烯材质，可承载≥3.0公斤物品，规格：长≥42cm，宽≥27cm ,重量≥8.2g/个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食品袋5公斤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133985</wp:posOffset>
                  </wp:positionV>
                  <wp:extent cx="885825" cy="647700"/>
                  <wp:effectExtent l="0" t="0" r="9525" b="0"/>
                  <wp:wrapNone/>
                  <wp:docPr id="30" name="图片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食品级，聚乙烯材质，可承载≥5.0公斤物品，规格长：≥60cm，宽≥30cm ,见图片，重量≥16g/个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96520</wp:posOffset>
                  </wp:positionV>
                  <wp:extent cx="904875" cy="629285"/>
                  <wp:effectExtent l="0" t="0" r="9525" b="18415"/>
                  <wp:wrapNone/>
                  <wp:docPr id="25" name="图片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5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食品级，聚乙烯材质，可承载≥0.5公斤物品，规格：长≥35cm，宽≥14cm，见图片，重量≥0.16g/个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点断袋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58420</wp:posOffset>
                  </wp:positionV>
                  <wp:extent cx="868045" cy="648970"/>
                  <wp:effectExtent l="0" t="0" r="8255" b="17780"/>
                  <wp:wrapNone/>
                  <wp:docPr id="2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食品级，聚乙烯材质，可承载≥2.5公斤物品，规格：长≥35cm，宽≥25cm ,见图片,重量为≥4g/个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方底袋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66675</wp:posOffset>
                  </wp:positionV>
                  <wp:extent cx="933450" cy="637540"/>
                  <wp:effectExtent l="0" t="0" r="0" b="10160"/>
                  <wp:wrapNone/>
                  <wp:docPr id="32" name="图片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食品级，聚乙烯材质，可承载≥5公斤物品，规格：长≥63cm，宽≥57cm ,见图片，重量≥31g/个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拉链袋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56515</wp:posOffset>
                  </wp:positionV>
                  <wp:extent cx="1219200" cy="589280"/>
                  <wp:effectExtent l="0" t="0" r="0" b="1270"/>
                  <wp:wrapNone/>
                  <wp:docPr id="29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食品级，聚乙烯材质，可承载≥0.25公斤物品，规格：长≥15cm，宽≥10cm，见图片，重量≥0.7g/个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131445</wp:posOffset>
                  </wp:positionV>
                  <wp:extent cx="932815" cy="657860"/>
                  <wp:effectExtent l="0" t="0" r="635" b="8890"/>
                  <wp:wrapNone/>
                  <wp:docPr id="35" name="图片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食品级，聚乙烯材质，可承载≥1公斤物品，规格：长≥30cm，宽≥20cm ，见图片,重量≥9g/个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纺丝台布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8890</wp:posOffset>
                  </wp:positionV>
                  <wp:extent cx="1362075" cy="849630"/>
                  <wp:effectExtent l="0" t="0" r="9525" b="7620"/>
                  <wp:wrapNone/>
                  <wp:docPr id="36" name="图片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6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食品级，规格≥2.2m*2.2m,PVC材质，每片重量≥30g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垃圾袋2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48260</wp:posOffset>
                  </wp:positionV>
                  <wp:extent cx="1407795" cy="1026795"/>
                  <wp:effectExtent l="0" t="0" r="1905" b="1905"/>
                  <wp:wrapNone/>
                  <wp:docPr id="27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795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90700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原生料，尺寸≥120*140cm,重量≥45g/个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公寓管理中心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26670</wp:posOffset>
                  </wp:positionV>
                  <wp:extent cx="1417955" cy="911225"/>
                  <wp:effectExtent l="0" t="0" r="10795" b="3175"/>
                  <wp:wrapNone/>
                  <wp:docPr id="22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2_SpCnt_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91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原生料，尺寸为≥1米*1米，重量约≥35g/个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大垃圾袋2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69215</wp:posOffset>
                  </wp:positionV>
                  <wp:extent cx="1342390" cy="1182370"/>
                  <wp:effectExtent l="0" t="0" r="10160" b="17780"/>
                  <wp:wrapNone/>
                  <wp:docPr id="24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88250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原生料，尺寸：≥100cm*90cm ≥45g/个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动力与维修中心，饮食中心、幼儿保教中心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大垃圾袋1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66040</wp:posOffset>
                  </wp:positionV>
                  <wp:extent cx="1305560" cy="866775"/>
                  <wp:effectExtent l="0" t="0" r="8890" b="9525"/>
                  <wp:wrapNone/>
                  <wp:docPr id="23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8_SpCnt_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990935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原生料，尺寸≥100*80cm   重量≥35g/个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物业管理中心、公寓管理中心、动力与维修中心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287371.15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分类垃圾袋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43815</wp:posOffset>
                  </wp:positionV>
                  <wp:extent cx="1550035" cy="758190"/>
                  <wp:effectExtent l="0" t="0" r="12065" b="3810"/>
                  <wp:wrapNone/>
                  <wp:docPr id="19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03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原生料，尺寸≥50*70cm，重量≥45g/个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小垃圾袋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142240</wp:posOffset>
                  </wp:positionV>
                  <wp:extent cx="1104900" cy="828675"/>
                  <wp:effectExtent l="0" t="0" r="0" b="9525"/>
                  <wp:wrapNone/>
                  <wp:docPr id="21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2_SpCnt_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166971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原生料：尺寸≥42*30cm,重量≥3.5g/个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幼儿保教中心、动力与维修中心、活动中心、物业管理中心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编织袋子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（带膜）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58420</wp:posOffset>
                  </wp:positionV>
                  <wp:extent cx="1104900" cy="733425"/>
                  <wp:effectExtent l="0" t="0" r="0" b="9525"/>
                  <wp:wrapNone/>
                  <wp:docPr id="2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尺寸≥长1.2米*宽1米，带膜编织袋≥120g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供货商质保1年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采购预算合计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693525.2</w:t>
            </w:r>
          </w:p>
        </w:tc>
      </w:tr>
    </w:tbl>
    <w:p>
      <w:pPr>
        <w:keepNext/>
        <w:keepLines/>
        <w:ind w:left="103" w:leftChars="49"/>
        <w:jc w:val="center"/>
        <w:outlineLvl w:val="0"/>
        <w:rPr>
          <w:rFonts w:ascii="Calibri" w:hAnsi="Calibri"/>
          <w:b/>
          <w:bCs/>
          <w:kern w:val="44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ook Antiqua">
    <w:altName w:val="Segoe Print"/>
    <w:panose1 w:val="00000000000000000000"/>
    <w:charset w:val="00"/>
    <w:family w:val="roman"/>
    <w:pitch w:val="default"/>
    <w:sig w:usb0="00000000" w:usb1="000000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jc w:val="center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2"/>
    <w:multiLevelType w:val="multilevel"/>
    <w:tmpl w:val="00000022"/>
    <w:lvl w:ilvl="0" w:tentative="0">
      <w:start w:val="1"/>
      <w:numFmt w:val="chineseCountingThousand"/>
      <w:pStyle w:val="3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decimal"/>
      <w:pStyle w:val="5"/>
      <w:lvlText w:val="%3."/>
      <w:lvlJc w:val="righ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yMmMxNDkwMTU0MzJlZGFkMmRjMzE1MDQ2MmQ3MGQifQ=="/>
  </w:docVars>
  <w:rsids>
    <w:rsidRoot w:val="00D75BEC"/>
    <w:rsid w:val="004521F3"/>
    <w:rsid w:val="00495663"/>
    <w:rsid w:val="004E7315"/>
    <w:rsid w:val="005B44B9"/>
    <w:rsid w:val="00623E6C"/>
    <w:rsid w:val="006E6708"/>
    <w:rsid w:val="00864675"/>
    <w:rsid w:val="00D75BEC"/>
    <w:rsid w:val="073F18B0"/>
    <w:rsid w:val="16A31AE7"/>
    <w:rsid w:val="1A2D3422"/>
    <w:rsid w:val="220D2CF0"/>
    <w:rsid w:val="221A4D49"/>
    <w:rsid w:val="287369B7"/>
    <w:rsid w:val="28DE559B"/>
    <w:rsid w:val="2EC2666F"/>
    <w:rsid w:val="321D3448"/>
    <w:rsid w:val="325D4C58"/>
    <w:rsid w:val="36F52F5D"/>
    <w:rsid w:val="40BE3E26"/>
    <w:rsid w:val="48A00216"/>
    <w:rsid w:val="5895711B"/>
    <w:rsid w:val="5D7F698B"/>
    <w:rsid w:val="5E7D6FE8"/>
    <w:rsid w:val="61560803"/>
    <w:rsid w:val="68CA04B1"/>
    <w:rsid w:val="74632EFA"/>
    <w:rsid w:val="75E5618F"/>
    <w:rsid w:val="78C1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outlineLvl w:val="1"/>
    </w:pPr>
    <w:rPr>
      <w:rFonts w:ascii="Arial" w:hAnsi="Arial" w:eastAsia="黑体"/>
      <w:bCs/>
      <w:sz w:val="28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准正文-lp"/>
    <w:basedOn w:val="1"/>
    <w:next w:val="1"/>
    <w:qFormat/>
    <w:uiPriority w:val="0"/>
    <w:pPr>
      <w:spacing w:line="360" w:lineRule="auto"/>
      <w:ind w:firstLine="480" w:firstLineChars="200"/>
    </w:pPr>
    <w:rPr>
      <w:rFonts w:eastAsia="仿宋_GB2312" w:cs="宋体"/>
      <w:sz w:val="28"/>
    </w:rPr>
  </w:style>
  <w:style w:type="paragraph" w:styleId="6">
    <w:name w:val="Normal Indent"/>
    <w:basedOn w:val="1"/>
    <w:qFormat/>
    <w:uiPriority w:val="0"/>
    <w:pPr>
      <w:spacing w:line="360" w:lineRule="auto"/>
      <w:ind w:firstLine="420"/>
    </w:pPr>
    <w:rPr>
      <w:rFonts w:ascii="Calibri" w:hAnsi="Calibri"/>
      <w:sz w:val="24"/>
      <w:szCs w:val="20"/>
    </w:rPr>
  </w:style>
  <w:style w:type="paragraph" w:styleId="7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next w:val="10"/>
    <w:qFormat/>
    <w:uiPriority w:val="0"/>
    <w:rPr>
      <w:rFonts w:ascii="宋体"/>
      <w:kern w:val="0"/>
      <w:szCs w:val="20"/>
    </w:rPr>
  </w:style>
  <w:style w:type="paragraph" w:styleId="10">
    <w:name w:val="Intense Quote"/>
    <w:basedOn w:val="1"/>
    <w:next w:val="1"/>
    <w:unhideWhenUsed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11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Body Text First Indent"/>
    <w:basedOn w:val="7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15">
    <w:name w:val="Body Text First Indent 2"/>
    <w:basedOn w:val="8"/>
    <w:next w:val="7"/>
    <w:qFormat/>
    <w:uiPriority w:val="0"/>
    <w:pPr>
      <w:ind w:firstLine="420" w:firstLineChars="200"/>
    </w:pPr>
  </w:style>
  <w:style w:type="character" w:styleId="18">
    <w:name w:val="FollowedHyperlink"/>
    <w:basedOn w:val="17"/>
    <w:qFormat/>
    <w:uiPriority w:val="0"/>
    <w:rPr>
      <w:color w:val="800080"/>
      <w:u w:val="single"/>
    </w:rPr>
  </w:style>
  <w:style w:type="paragraph" w:customStyle="1" w:styleId="1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</w:style>
  <w:style w:type="paragraph" w:customStyle="1" w:styleId="22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23">
    <w:name w:val="单位"/>
    <w:basedOn w:val="1"/>
    <w:qFormat/>
    <w:uiPriority w:val="0"/>
    <w:pPr>
      <w:tabs>
        <w:tab w:val="left" w:pos="6300"/>
      </w:tabs>
      <w:spacing w:line="528" w:lineRule="exact"/>
      <w:jc w:val="center"/>
    </w:pPr>
    <w:rPr>
      <w:rFonts w:ascii="等线" w:hAnsi="等线" w:eastAsia="楷体_GB2312"/>
      <w:sz w:val="30"/>
      <w:szCs w:val="30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样式46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  <w:textAlignment w:val="baseline"/>
    </w:pPr>
    <w:rPr>
      <w:rFonts w:ascii="Book Antiqua" w:hAnsi="Book Antiqua"/>
      <w:kern w:val="0"/>
      <w:sz w:val="24"/>
    </w:rPr>
  </w:style>
  <w:style w:type="paragraph" w:customStyle="1" w:styleId="26">
    <w:name w:val="列出段落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2471</Words>
  <Characters>2569</Characters>
  <Lines>1</Lines>
  <Paragraphs>5</Paragraphs>
  <TotalTime>0</TotalTime>
  <ScaleCrop>false</ScaleCrop>
  <LinksUpToDate>false</LinksUpToDate>
  <CharactersWithSpaces>2578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2020-07-21T01:30:00Z</dcterms:created>
  <dc:creator>Administrator.PC-20151222GRIG</dc:creator>
  <cp:lastModifiedBy>邱实</cp:lastModifiedBy>
  <dcterms:modified xsi:type="dcterms:W3CDTF">2023-05-04T11:46:14Z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C5402D6E1224408FA53A7CB31657F867</vt:lpwstr>
  </property>
</Properties>
</file>