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after="0" w:line="240" w:lineRule="auto"/>
        <w:ind w:left="103" w:leftChars="49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Cs w:val="20"/>
        </w:rPr>
        <w:t>采购</w:t>
      </w:r>
      <w:r>
        <w:rPr>
          <w:rFonts w:hint="eastAsia" w:ascii="黑体" w:hAnsi="黑体" w:eastAsia="黑体" w:cs="黑体"/>
        </w:rPr>
        <w:t>需求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血气分析仪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 数量：1台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1.方法学：干式电化学法；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★2.进样方式：自动水平进样，无需手持；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3.测试时间：吸样到显示结果≤60秒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4.测试参数：PH、PO2、PCO2、Na＋、K＋，CL-,Ca++, Hct，Lac，Glu，一个试剂盒可同时检测实测参数≥10项；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5.计算参数：cH+，HCO3-act，HCO3-std，BE(ecf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)，BE(B)，BB(B)，ctCO2，sO2(est)，Ca++(7.4)，AnGap等,计算参数≥22项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6.试剂盒型号：≥42种试剂盒型号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7.标本类型：可适用于动脉血、静脉血、毛细血管血、混合动静脉血等≥5种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8.标本量：≤80ul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9.定标方式：液体定标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10.试剂卡存储：无需冷藏，常温保存，效期≥8个月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11.试剂卡类型：单人份包装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12.试剂包上机效期≥50天；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★13.操作界面：≥6英寸彩色触摸屏操作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14.电池：内置大容量电池，待机时间≥15小时；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15.重量：重量≤ 4Kg(含电池)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17.配置：主机一台，直流伺服电机Innfos QDDPR60-36 数量5个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、数码手术显微镜  数量：1台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1.传感器：1/2.33英寸，≥1600万像素CMOS传感器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2.像素尺寸：≥1.335µm×1.335µm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3.HDMI输出：≥1920*1080 60帧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4.镜头接口：C/CS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5.支持一键拍照、录像，持照片、图像在高清模式下回看，提供≥64G TF储存卡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6.支持脚踏控制调焦，脚踏开关，带≥2m电缆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7.配置≥11.6寸高清显示屏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8.支持遥控器操作，支持8条直线，颜色、粗细和位置可调，可关闭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9.中心线：支持显示/关闭；支持手动/自动曝光/一键曝光，曝光补偿值调节；支持手动/自动白平衡/一键白平衡，红、绿、蓝可调；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10.电动细调焦范围：28±2mm；手动粗调焦范围：50±5mm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11.LED双色状态指示灯：支持USB2.0和HDMI1.3两种接口模式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12.含上位机软件，支持win10系统可连接笔记本电脑使用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13.支持数据导出格式：PC-JPG，HD-MOV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14.系统包含十字臂支架、环形光源以及鹅颈灯光源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光学参数：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1.工作距离：155-180mm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2.镜头18-100倍可调（≥27寸显示器下放大倍数），光学放大率0.18-1.13X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3.分辨率：≤低倍19.8µm，≤高倍7.6µm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 xml:space="preserve">4.景深：≥低倍6.7 mm，≥高倍0.4 mm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 视野（1/3""对角线）：低倍32mm*18mm，高倍5.7mm*3.2mm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、生理记录仪  数量：1台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、硬件参数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1.采样通道接口：≥4个物理采样通道，1个12导联全导联心电接口；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2.物理采样通道扩展：任意一个物理采样通道可扩展至≥8通道参数进行调节。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3.实时传感器类型自动识别；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4.传感器定标信息自动存储；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5.量程：±50μV ~±1V；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6.滤波器：同时具备硬件模拟滤波器、DSP 5阶贝塞尔滤波器、软件数字滤波器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6.1低通：1、 2、 5、 10、 20、 50、 100、 200、 500、 1k、2k、 5k, 10k,20k, 50k，合计15档 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6.2 高通（时间常数）：DC、5S、2s、1s、0.5s、0.2s、0.1s、0.05s、0.02s、0.01s、0.005s、0.002s、0.001s，合计13档 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6.3 50Hz陷波：开、关两档可调；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7.最大采样率：800KHz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8.AD转换器：≥16位4通道同步采样；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9.共模抑制比（CMMR）：＞100DB;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10.输入阻抗：≥10M@DC；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11.等效输入噪声：电压峰峰值 ＜2.0μV，信噪比：＞100dB；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12.支持多种采样方式：连续采样、刺激触发采样、外部触发采样、程控采样；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13.系统级联：2~4台设备级联；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14.电源:DC 12V  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15.环境监测功能；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16.信号采集设备使用情况记录和显示、具有监听、记滴功能；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17.设备高级程控刺激器，刺激器参数包括：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1）波形：方波、三角波、正弦波、余弦波、半正弦波、直流波、用户编辑任意波形；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2）模式：恒流、恒压两种输出方式；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3）电压：-110V~110V；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4）电流：-150mA~+150mA；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5）时间步长：0.05ms。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、软件参数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1.软件显示通道数：1~64通道可变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2.同时打开反演文件数：≥4个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3.实时采样和反演同时进行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4.通道差异化采样率设置、波形截图水印功能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5.软件直接与虚拟仿真实验中心连接为学生展示更多实验知识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6.具有软件自动升级功能、具有专业的心率变异分析、专业的LTP数据分析功能、具有实验模块自定义功能、具有数据监控窗口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7.实验模块：系统内置不低于50个预先设定参数的实验模块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配置：主机一台、干式肌电传感采集器EMG Sensor数量5个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、高功率远程通讯设备（天线+收发终端）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数量：1台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 24x(1G/2.5G/5G ）UPOE（60W）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 4x1/10/25/50G SFP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 模块化主备电源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 支持堆叠-最多10台堆叠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 3层支持RIP、OSPF、EIGRP、IS-IS、BGP、MPLS、VxLAN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 POE输出功率370/740W/1300W（具有冗余电源）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、普通倒置显微镜  数量：1台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1.光学系统：无限远光学系统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2.观察头：三目观察头，30°倾斜，瞳距 48-75mm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3.目镜：高眼点，超大视野目镜 EW10×/ 22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4.转换器：≥五孔转换器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5.物镜：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5.1无限远平场长距物镜：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4×/ ≥0.1, WD ≥18mm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40×/ ≥0.6, WD≥ 2.6mm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5.2无限远平场相衬物镜：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PH 10×/ ≥0.25, WD ≥10mm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highlight w:val="none"/>
          <w:lang w:val="en-US" w:eastAsia="zh-CN"/>
        </w:rPr>
        <w:t>PH 20×/ ≥0.4, WD≥ 5.1mm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6.聚光镜：超长工作距离聚光镜 NA 0.3，长距离工作 ≥72 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焦距调节：同轴粗微调机构，转换器上下移动进行调焦，粗调行程每圈 ≥37.7 mm，微调行程每圈 ≤0.2 mm 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7.载物台：平面载物台 ≥160×250mm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8.载物台插入圆板，接长托板≥70×180mm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9.照明系统：6V/30W卤素灯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10.光源：100W HBO超高压球型汞灯 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、装配站  数量：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1套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★1.包括操作台、数字旋转器、热风枪、放大镜、四极剪刀、注射器、冲洗容器、塑料盒等。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2.操作台：16寸×36寸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3.悬杆：可以上下移动。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4.悬挂杆架：固定 24 英寸支撑杆。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5.电动旋转器：用于旋转Tetrode电极丝。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6.吊杆：将电极丝穿过凹槽端，在旋转时将电极丝固定到位，用于制作电极。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7.电极丝支架：容纳整卷电极丝。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★8.电动旋转器有两种操作模式：自动和手动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9.电动旋转器的“自定义自动旋转配置”功能，可以更快地制作一致的、稳定的电极。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10.磁性鳄鱼夹：用来旋转电极丝，可以更便捷的制作电极。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★11.LED屏幕对比度可调。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★12.电动旋转器可通过计算机来控制。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13.配置：包括操作台、旋转器、热风枪、放大镜、剪刀、注射器、电镀容器、电极丝悬挂支架、塑料盒等。张力换能器5个、GW-3G恒温平滑肌槽1个、压力换能器5个、电动移液器5支、激光测距一个、pH计三个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、智光眼检测相机  数量：1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1.对外接口：千 兆 网 口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2.安装距离：1m±15cm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3.扫描视野;工作距离：1000mm时，检测视野不小于1400mm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4.检测方式：动态扫描检测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5.检测功能：3D点云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6.检测精度：±1.5mm@1m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7.通信方式：Modbus/TCP/IP协议或通信SDK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8.触发方式：软触发，电平触发、脉冲触发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9.标准对接传输系统：Windows10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、微循环观察分析系统  数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量：5套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1、配置生物医学信号采集处理系统进行动物心电、血压、呼吸、脉搏、心音等生理指标的观察。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★2、微循环测量指标：血流速度、血管记数、输入袢管径、输出袢管径、管袢数、输出袢管径/输入袢管径、袢顶管径、管袢长度、交叉管袢数、细胞凝集等20个指标，并可按步骤将这些指标写入到Excel中供分析。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3、具有静态图像捕获功能：1280*1024，1600*1200，2048*1536，800*600，600*480，320*240幅面可选。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4、采用标准Windows图象格式：BMP非压缩，JPG压缩格式；数字录象功能，支持DVD实时录象。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★5、具有交互几何测量，测量指标包括：直线、曲线、面积、周长测量等。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6、可进行图象处理、图像滤波：低通、高通、高斯、锐化、中值和HIGouss处理。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7、可进行运动目标面积频谱波形观察和目标参数测量。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★8、可进行细胞个数、细胞面积、区域面积、以及两者的面积比的测定。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9、数据和图象可直接传送远端计算机，与OUTLOOK无缝连接。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、高压灭菌锅  数量：1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 容量≥50L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 灭菌腔材料: 灭菌腔材料: SUS316不锈钢，腔体厚度≥3mm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3．功率：2600W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4.灭菌温度范围:灭菌温度:105-135℃,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5.时间范围:灭菌时间:1-300分钟，干燥时间：1-300分钟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6.设计压力≥0.30MPA，安全阀起跳压力≥0.29Mpa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7.压力表显示范围:-0.1-0.5MPa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8.动态脉冲排汽次数（可选）：0-9次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9.三重干烧保护装置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10.系统自动监测冷空气的排放情况、具有闭盖检查系统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11.灭菌过程状态LED动态显示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12.故障检测程序，实时监测仪器的正常运行,可存储20条故障信息记录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13.配置：主机1台，不锈钢提篮3个，水位板1个，排水管2条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、双人单面超净工作台  数量：1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1.洁净等级：100级@≥0.5μM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2.菌落数：≤0.5个/皿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3.平均风速：0.25～0.45m/s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4.噪音：≤62dB（A）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5.振动半峰值：≤5μM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6.照度：≥300Lx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7.适用人数：双人/单面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、台式学生用显微镜  数量：8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1.光学系统：IC2S无限远光学系统，45mm国际标准物镜齐焦距离。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2.调焦：带扭矩调节装置,调焦行程≥15mm。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3.观察方式：可实现明场观察方式。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★4.明场照明装置： LED透射光照明系统，寿命≥20000小时。内置透射光科勒照明器。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5.载物台：XY移动行程≥75x40mm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6.观察镜筒：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6.1 双目镜筒，视场数≥20mm，倾角30度；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★6.2 高眼点设计，目镜筒上下自由翻转，实现40mm观察高度调节；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6.3 瞳距48-75mm可调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7.目镜：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7.1 10倍目镜，视场数≥20mm；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7.2 两个目镜均具有屈光度校正功能；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 物镜：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 xml:space="preserve">8.1 平场消色差物镜 4×，NA值≥0.10；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8.2 平场消色差物镜 10×，NA值≥0.25；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8.3 平场消色差物镜 40×，NA值≥0.65；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8.4 平场消色差物镜（油镜） 100×，NA值≥1.25。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9.物镜转换器：物镜转盘孔位≥4位，一体化设计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10.聚光镜：高分辨率阿贝聚光镜：NA≥0.9/1.25。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★11.镜座两侧蓝色LED指示灯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、连续变倍体视镜  数量：5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台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1. 光学系统：Greenough光路设计，高分辨率、高反差、立体感强。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 主机：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2.1 主机变倍比5：1，变倍范围0.8-4.0x。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2.2最高倍物镜下分辨率≥400lp/mm。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2.3工作距离≥110mm。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2.4总放大范围8.0x-40x。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3.照明模式转换及亮度调节采用集中按纽式设计。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4.调焦支架：升降范围≥145mm，承重≥5KG。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5.双目镜筒：45°观察角度，瞳距55-75mm可调；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6.目镜：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6.1 10x目镜，视场数≥23mm；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6.2 高眼点，屈光度可调；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7.机身采用不使用化学药品的绿色环保防霉技术。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★8.透射光底座：工作面积≥310x200mm，可实现透射光明场，暗场等观察方式；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LED光源，寿命≥50000 h。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★9. 照明方式：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9.1 反射光：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9.1.1主机自带LED垂直照明器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9.1.2 LED双支分岔点光源照明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  <w:t>9.2 透射光：底座配备LED透射照明装置</w:t>
      </w:r>
    </w:p>
    <w:p>
      <w:pPr>
        <w:spacing w:line="360" w:lineRule="auto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/>
          <w:i w:val="0"/>
          <w:iCs w:val="0"/>
          <w:sz w:val="24"/>
          <w:szCs w:val="24"/>
          <w:lang w:val="en-US" w:eastAsia="zh-CN"/>
        </w:rPr>
      </w:pPr>
    </w:p>
    <w:p>
      <w:pPr>
        <w:tabs>
          <w:tab w:val="left" w:pos="3420"/>
        </w:tabs>
        <w:spacing w:line="360" w:lineRule="exact"/>
        <w:rPr>
          <w:rFonts w:cs="Calibri"/>
          <w:b/>
          <w:sz w:val="24"/>
        </w:rPr>
      </w:pPr>
      <w:r>
        <w:rPr>
          <w:rFonts w:cs="Calibri"/>
          <w:b/>
          <w:sz w:val="24"/>
        </w:rPr>
        <w:t>提醒注意：</w:t>
      </w:r>
    </w:p>
    <w:p>
      <w:pPr>
        <w:tabs>
          <w:tab w:val="left" w:pos="3420"/>
        </w:tabs>
        <w:spacing w:line="360" w:lineRule="exact"/>
        <w:ind w:firstLine="139" w:firstLineChars="58"/>
        <w:rPr>
          <w:rFonts w:cs="Calibri"/>
          <w:sz w:val="24"/>
        </w:rPr>
      </w:pPr>
      <w:r>
        <w:rPr>
          <w:rFonts w:cs="Calibri"/>
          <w:sz w:val="24"/>
        </w:rPr>
        <w:t xml:space="preserve"> </w:t>
      </w:r>
    </w:p>
    <w:p>
      <w:pPr>
        <w:spacing w:line="360" w:lineRule="auto"/>
        <w:ind w:firstLine="424" w:firstLineChars="177"/>
        <w:rPr>
          <w:rFonts w:cs="Calibri"/>
          <w:sz w:val="24"/>
        </w:rPr>
      </w:pPr>
      <w:r>
        <w:rPr>
          <w:rFonts w:hint="eastAsia" w:cs="Calibri"/>
          <w:sz w:val="24"/>
        </w:rPr>
        <w:t>★1、以上采购需求不指向任何一种品牌或供应商，★项技术参数为重要技术指标，有1项不满足按报价无效处理</w:t>
      </w:r>
      <w:r>
        <w:rPr>
          <w:rFonts w:hint="eastAsia" w:cs="Calibri"/>
          <w:sz w:val="24"/>
          <w:lang w:eastAsia="zh-CN"/>
        </w:rPr>
        <w:t>，</w:t>
      </w:r>
      <w:r>
        <w:rPr>
          <w:rFonts w:hint="eastAsia" w:ascii="Times New Roman" w:hAnsi="Times New Roman" w:eastAsia="宋体" w:cs="Calibri"/>
          <w:color w:val="auto"/>
          <w:sz w:val="24"/>
          <w:lang w:val="en-US" w:eastAsia="zh-CN"/>
        </w:rPr>
        <w:t>非“★”条款超过三条不满足的</w:t>
      </w:r>
      <w:r>
        <w:rPr>
          <w:rFonts w:hint="eastAsia" w:ascii="Times New Roman" w:hAnsi="Times New Roman" w:eastAsia="宋体" w:cs="Calibri"/>
          <w:color w:val="auto"/>
          <w:sz w:val="24"/>
        </w:rPr>
        <w:t>按</w:t>
      </w:r>
      <w:r>
        <w:rPr>
          <w:rFonts w:hint="eastAsia" w:cs="Calibri"/>
          <w:color w:val="auto"/>
          <w:sz w:val="24"/>
          <w:lang w:val="en-US" w:eastAsia="zh-CN"/>
        </w:rPr>
        <w:t>报价</w:t>
      </w:r>
      <w:r>
        <w:rPr>
          <w:rFonts w:hint="eastAsia" w:cs="Calibri"/>
          <w:color w:val="auto"/>
          <w:sz w:val="24"/>
        </w:rPr>
        <w:t>无效处理。</w:t>
      </w:r>
    </w:p>
    <w:p>
      <w:pPr>
        <w:spacing w:line="360" w:lineRule="auto"/>
        <w:ind w:firstLine="424" w:firstLineChars="177"/>
        <w:rPr>
          <w:rFonts w:cs="Calibri"/>
          <w:sz w:val="24"/>
        </w:rPr>
      </w:pPr>
      <w:r>
        <w:rPr>
          <w:rFonts w:hint="eastAsia" w:cs="Calibri"/>
          <w:sz w:val="24"/>
        </w:rPr>
        <w:t>2、供应商应按己方所报价货物的实际技术参数填写，如经评审委员会发现未按所投产品品牌的实际技术参数进行应答，而是完全复制采购文件的技术参数，与所投品牌的实际技术参数不符的，按报价无效处理。技术偏离表中“响应文件响应情况”应如实填写，并与“采购文件技术要求”一一对应，如简单填写“响应”或“完全响应”报价无效。</w:t>
      </w:r>
    </w:p>
    <w:p>
      <w:pPr>
        <w:spacing w:line="360" w:lineRule="auto"/>
        <w:ind w:firstLine="424" w:firstLineChars="177"/>
        <w:rPr>
          <w:rFonts w:hint="eastAsia" w:ascii="Times New Roman" w:hAnsi="Times New Roman" w:eastAsia="宋体" w:cs="Calibri"/>
          <w:sz w:val="24"/>
        </w:rPr>
      </w:pPr>
      <w:r>
        <w:rPr>
          <w:rFonts w:hint="eastAsia" w:ascii="Times New Roman" w:hAnsi="Times New Roman" w:eastAsia="宋体" w:cs="Calibri"/>
          <w:sz w:val="24"/>
        </w:rPr>
        <w:t>3、报价产品的各项技术指标不能低于国家强制性标准，否则报价无效。</w:t>
      </w:r>
    </w:p>
    <w:p>
      <w:pPr>
        <w:spacing w:line="360" w:lineRule="auto"/>
        <w:ind w:firstLine="424" w:firstLineChars="177"/>
        <w:rPr>
          <w:rFonts w:hint="eastAsia" w:ascii="Times New Roman" w:hAnsi="Times New Roman" w:eastAsia="宋体" w:cs="Calibri"/>
          <w:sz w:val="24"/>
        </w:rPr>
      </w:pPr>
      <w:r>
        <w:rPr>
          <w:rFonts w:hint="eastAsia" w:ascii="Times New Roman" w:hAnsi="Times New Roman" w:eastAsia="宋体" w:cs="Calibri"/>
          <w:sz w:val="24"/>
        </w:rPr>
        <w:t>4、所投产品中如要求安装软件，应提供正版软件，否则报价无效。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1143A7"/>
    <w:rsid w:val="001143A7"/>
    <w:rsid w:val="007C7331"/>
    <w:rsid w:val="00D673C2"/>
    <w:rsid w:val="00D71A12"/>
    <w:rsid w:val="26EE5817"/>
    <w:rsid w:val="27784D05"/>
    <w:rsid w:val="53193EB0"/>
    <w:rsid w:val="58F00B24"/>
    <w:rsid w:val="7BF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Body Text First Indent"/>
    <w:basedOn w:val="3"/>
    <w:next w:val="5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5">
    <w:name w:val="toc 6"/>
    <w:basedOn w:val="1"/>
    <w:next w:val="1"/>
    <w:qFormat/>
    <w:uiPriority w:val="39"/>
    <w:pPr>
      <w:ind w:left="2100" w:leftChars="1000"/>
    </w:pPr>
  </w:style>
  <w:style w:type="paragraph" w:styleId="6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7">
    <w:name w:val="Plain Text"/>
    <w:basedOn w:val="1"/>
    <w:unhideWhenUsed/>
    <w:qFormat/>
    <w:uiPriority w:val="0"/>
    <w:rPr>
      <w:rFonts w:ascii="宋体" w:hAnsi="Courier New"/>
      <w:kern w:val="2"/>
    </w:rPr>
  </w:style>
  <w:style w:type="paragraph" w:styleId="8">
    <w:name w:val="footer"/>
    <w:basedOn w:val="1"/>
    <w:next w:val="1"/>
    <w:qFormat/>
    <w:uiPriority w:val="0"/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360" w:lineRule="auto"/>
      <w:ind w:firstLine="540" w:firstLineChars="257"/>
    </w:pPr>
    <w:rPr>
      <w:rFonts w:ascii="宋体" w:hAnsi="宋体"/>
    </w:rPr>
  </w:style>
  <w:style w:type="paragraph" w:customStyle="1" w:styleId="13">
    <w:name w:val="标准正文-lp"/>
    <w:basedOn w:val="1"/>
    <w:next w:val="1"/>
    <w:qFormat/>
    <w:uiPriority w:val="0"/>
    <w:pPr>
      <w:spacing w:line="360" w:lineRule="auto"/>
      <w:ind w:firstLine="480" w:firstLineChars="200"/>
    </w:pPr>
    <w:rPr>
      <w:rFonts w:eastAsia="仿宋_GB2312" w:cs="宋体"/>
      <w:sz w:val="28"/>
    </w:rPr>
  </w:style>
  <w:style w:type="paragraph" w:customStyle="1" w:styleId="14">
    <w:name w:val="_Style 67"/>
    <w:basedOn w:val="1"/>
    <w:next w:val="1"/>
    <w:qFormat/>
    <w:uiPriority w:val="0"/>
    <w:pPr>
      <w:ind w:left="840" w:leftChars="4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246</Characters>
  <Lines>2</Lines>
  <Paragraphs>2</Paragraphs>
  <TotalTime>2</TotalTime>
  <ScaleCrop>false</ScaleCrop>
  <LinksUpToDate>false</LinksUpToDate>
  <CharactersWithSpaces>1118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2023-05-19T02:30:00Z</dcterms:created>
  <dc:creator>Administrator</dc:creator>
  <cp:lastModifiedBy>邱实</cp:lastModifiedBy>
  <dcterms:modified xsi:type="dcterms:W3CDTF">2023-10-23T05:22:18Z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2E468748056649229D9932DE612745D3_12</vt:lpwstr>
  </property>
</Properties>
</file>